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32"/>
          <w:szCs w:val="32"/>
        </w:rPr>
        <w:t xml:space="preserve">Адміністративні послуги та бланки документів </w:t>
      </w:r>
      <w:r>
        <w:rPr>
          <w:rFonts w:ascii="Times New Roman" w:hAnsi="Times New Roman"/>
          <w:b/>
          <w:bCs/>
          <w:sz w:val="32"/>
          <w:szCs w:val="32"/>
        </w:rPr>
        <w:t>відділ</w:t>
      </w:r>
      <w:r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 архітектури 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32"/>
          <w:szCs w:val="32"/>
        </w:rPr>
        <w:t xml:space="preserve">та інспекції </w:t>
      </w:r>
      <w:r>
        <w:rPr>
          <w:rFonts w:ascii="Times New Roman" w:hAnsi="Times New Roman"/>
          <w:b/>
          <w:bCs/>
          <w:sz w:val="32"/>
          <w:szCs w:val="32"/>
        </w:rPr>
        <w:t xml:space="preserve">державного </w:t>
      </w:r>
      <w:r>
        <w:rPr>
          <w:rFonts w:ascii="Times New Roman" w:hAnsi="Times New Roman"/>
          <w:b/>
          <w:bCs/>
          <w:sz w:val="32"/>
          <w:szCs w:val="32"/>
        </w:rPr>
        <w:t>архітектурно-будівельного контролю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Документи для отримання адміністративних послуг подаються за вибором заявника: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19"/>
        <w:bidi w:val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</w:r>
    </w:p>
    <w:p>
      <w:pPr>
        <w:pStyle w:val="Style19"/>
        <w:widowControl/>
        <w:numPr>
          <w:ilvl w:val="0"/>
          <w:numId w:val="0"/>
        </w:numPr>
        <w:pBdr/>
        <w:bidi w:val="0"/>
        <w:spacing w:lineRule="atLeast" w:line="30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 паперовій формі через центри надання адміністративних послуг.</w:t>
      </w:r>
    </w:p>
    <w:p>
      <w:pPr>
        <w:pStyle w:val="Style19"/>
        <w:widowControl/>
        <w:numPr>
          <w:ilvl w:val="0"/>
          <w:numId w:val="0"/>
        </w:numPr>
        <w:pBdr/>
        <w:bidi w:val="0"/>
        <w:spacing w:lineRule="atLeast" w:line="30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Документи, що приймаються через ЦНАП: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8790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документа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повідомлення про початок виконання підготовчих робіт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Скасування повідомлення про початок виконання підготовчих робіт за заявою замовника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повідомлення про початок  будівельних робіт що за класом наслідків належать до об'єктів з незначними наслідками (СС1)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повідомлення про зміну даних у повідомленні про початок будівельних робіт що належать до об'єктів з незначними наслідками (СС1)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Скасування повідомлення про початок виконання будівельних робіт за заявою замовника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повідомлення про початок  будівельних робіт, щодо об'єктів, будівництво яких здійснюється на підставі будівельного паспорта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повідомлення про зміну даних у повідомленні про початок будівельних робіт на підставі будівельного паспорту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Скасування повідомлення про початок виконання будівельних робіт на підставі будівельного паспорта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декларації про початок виконання будівельних робіт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декларації про готовність об'єкта до експлуатації що належать до об'єктів з незначними наслідками (СС1)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декларації про готовність об’єкта до експлуатації з незначними наслідками (СС1)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декларації про готовність об'єкта до експлуатації, будівництво якого здійснено на підставі будівельного паспорту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декларації про готовність об’єкта до експлуатації на підставі будівельного паспорта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декларації про готовність до експлуатації самочинно збудованого обєкта, на який визнано право власності за рішенням суду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декларації про готовність об’єкта до експлуатації за рішенням суду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декларації про готовність об'єкта до експлуатації з незначними наслідками (СС1) без дозвільного документа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декларації про готовність об'єкта до експлуатації з назначними наслідками (СС1) без дозвільного документа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дубліката будівельного паспорта забудови земельної ділянки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містобудівних умов та обмежень забудови земельної ділянки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містобудівних умов та обмежень забудови земельної ділянки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Скасування містобудівних умов та обмежень для проектування обєкта будівництва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Присвоєння адреси обєкту будівництва після отримання права на виконання будівельних робіт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Присвоєння адреси закінченому будівництвом обєкту після прийняття в експлуатацію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Зміна адреси об'єкта нерухомого майна (для введених в експлуатацію об'єктів)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Зміна, коригування нумерації обєктів нерухомого майна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Присвоєння адреси самочинно збудованим обєктам з 05.08.1992 по 09.04.2015 та за рішенням суду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Погодження користування місцем розміщення тимчасової споруди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Погодження продовження  користування місцем розміщення тимчасової споруди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Оформлення паспорта прив'язки ТС для провадження підприємницької діяльності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Продовження строку дії паспорта прив'язки ТС для провадження підприємницької діяльності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змін до паспорта прив'язки ТС для провадження підприємницької діяльності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витягів з містобудівної документації щодо розташування земельних ділянок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рішення про встановлення пріоритету  заявника на місце розташування реклами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дозволу на розміщення зовнішньої реклами у межах населеного пункту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Продовження дії  дозволу на розміщення зовнішньої реклами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Переоформлення  дозволу на розміщення зовнішньої реклами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Анулювання  дозволу на розміщення зовнішньої реклами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дубліката  дозволу на розміщення зовнішньої реклами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Отримання дозволу на порушення об’єкту благоустрою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повідомлення щодо влаштування засобів безперешкодного доступу осіб з інвалідністю  до об'єктів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numPr>
                <w:ilvl w:val="0"/>
                <w:numId w:val="3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викопіювання з матеріалів топографічної зйомки населеного пункту   М 12000</w:t>
            </w:r>
          </w:p>
        </w:tc>
      </w:tr>
    </w:tbl>
    <w:p>
      <w:pPr>
        <w:pStyle w:val="Normal"/>
        <w:bidi w:val="0"/>
        <w:jc w:val="left"/>
        <w:rPr/>
      </w:pPr>
      <w:hyperlink r:id="rId2">
        <w:r>
          <w:rPr/>
        </w:r>
      </w:hyperlink>
    </w:p>
    <w:p>
      <w:pPr>
        <w:pStyle w:val="Normal"/>
        <w:bidi w:val="0"/>
        <w:jc w:val="center"/>
        <w:rPr/>
      </w:pPr>
      <w:hyperlink r:id="rId3">
        <w:r>
          <w:rPr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sz w:val="28"/>
            <w:szCs w:val="28"/>
            <w:u w:val="none"/>
            <w:em w:val="none"/>
          </w:rPr>
          <w:t>Визначення переліку документів для отримання адміністративних послуг в інформаційних та технологічних картках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 xml:space="preserve"> </w:t>
      </w:r>
    </w:p>
    <w:sectPr>
      <w:type w:val="nextPage"/>
      <w:pgSz w:w="11906" w:h="16838"/>
      <w:pgMar w:left="1134" w:right="572" w:header="0" w:top="1134" w:footer="0" w:bottom="629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uk-UA" w:eastAsia="zh-CN" w:bidi="hi-IN"/>
    </w:rPr>
  </w:style>
  <w:style w:type="paragraph" w:styleId="2">
    <w:name w:val="Heading 2"/>
    <w:basedOn w:val="Style18"/>
    <w:next w:val="Style19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Style14">
    <w:name w:val="Виділення жирним"/>
    <w:qFormat/>
    <w:rPr>
      <w:b/>
      <w:bCs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character" w:styleId="Style16">
    <w:name w:val="Відвідане гіперпосилання"/>
    <w:rPr>
      <w:color w:val="800000"/>
      <w:u w:val="single"/>
      <w:lang w:val="zxx" w:eastAsia="zxx" w:bidi="zxx"/>
    </w:rPr>
  </w:style>
  <w:style w:type="character" w:styleId="Style17">
    <w:name w:val="Символ нумерації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 Unicode MS"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krv.dp.gov.ua/administratuvni-poslugu-664/golovna/shvidkiy_dostup/centr_nadannya_administrativnih_poslug/administrativni_poslugi/perelik_administrativnih_poslug_viddiliv_ta_upravliny_vikonavchogo_komitetu_pokrovsykoyi_misykoyi_radi/01_viddil_arhitekturi_ta_inspekciyi_arhitekturno_budivelynogo_kontrolyu" TargetMode="External"/><Relationship Id="rId3" Type="http://schemas.openxmlformats.org/officeDocument/2006/relationships/hyperlink" Target="https://pkrv.dp.gov.ua/administratuvni-poslugu-664/golovna/shvidkiy_dostup/centr_nadannya_administrativnih_poslug/administrativni_poslugi/perelik_administrativnih_poslug_viddiliv_ta_upravliny_vikonavchogo_komitetu_pokrovsykoyi_misykoyi_radi/01_viddil_arhitekturi_ta_inspekciyi_arhitekturno_budivelynogo_kontroly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LibreOffice/7.1.0.3$Windows_X86_64 LibreOffice_project/f6099ecf3d29644b5008cc8f48f42f4a40986e4c</Application>
  <AppVersion>15.0000</AppVersion>
  <Pages>2</Pages>
  <Words>580</Words>
  <Characters>3987</Characters>
  <CharactersWithSpaces>4483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2026-03-11T08:56:44Z</dcterms:created>
  <dc:creator/>
  <dc:description/>
  <dc:language>uk-UA</dc:language>
  <cp:lastModifiedBy/>
  <dcterms:modified xsi:type="dcterms:W3CDTF">2026-03-11T14:01:00Z</dcterms:modified>
  <cp:revision>19</cp:revision>
  <dc:subject/>
  <dc:title/>
</cp:coreProperties>
</file>