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06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П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родукти харчування (Хліб пшеничний)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UA-2023-06-06-004937-a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>вартіс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ть: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201 650,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грн.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Двісті одна</w:t>
      </w:r>
      <w:r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 xml:space="preserve">а шістсот пятдесят </w:t>
      </w:r>
      <w:r>
        <w:rPr>
          <w:color w:val="000000"/>
          <w:sz w:val="28"/>
          <w:szCs w:val="28"/>
          <w:lang w:val="uk-UA"/>
        </w:rPr>
        <w:t xml:space="preserve">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2024-01-03T15:36:17Z</dcterms:modified>
  <cp:revision>113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