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eastAsia="Times New Roman" w:cs="Calibri" w:ascii="Times New Roman" w:hAnsi="Times New Roman"/>
          <w:b/>
          <w:bCs/>
          <w:color w:val="000000"/>
          <w:sz w:val="22"/>
          <w:szCs w:val="22"/>
          <w:lang w:val="uk-UA" w:eastAsia="ru-RU" w:bidi="ar-SA"/>
        </w:rPr>
        <w:t>РОБОЧИЙ ПЛАН</w:t>
      </w:r>
    </w:p>
    <w:p>
      <w:pPr>
        <w:pStyle w:val="Normal"/>
        <w:jc w:val="center"/>
        <w:rPr>
          <w:rFonts w:ascii="Times New Roman" w:hAnsi="Times New Roman"/>
        </w:rPr>
      </w:pPr>
      <w:r>
        <w:rPr>
          <w:rFonts w:eastAsia="Times New Roman" w:cs="Calibri" w:ascii="Times New Roman" w:hAnsi="Times New Roman"/>
          <w:b/>
          <w:bCs/>
          <w:color w:val="000000"/>
          <w:sz w:val="22"/>
          <w:szCs w:val="22"/>
          <w:lang w:val="uk-UA" w:eastAsia="ru-RU" w:bidi="ar-SA"/>
        </w:rPr>
        <w:t>СПІВПРАЦІ ПРОЕКТУ USAID Підтримка організацій-лідерів у протидії корупції в Україні «ВзаємоДія» (Проект)</w:t>
      </w:r>
    </w:p>
    <w:p>
      <w:pPr>
        <w:pStyle w:val="Normal"/>
        <w:jc w:val="center"/>
        <w:rPr>
          <w:rFonts w:ascii="Times New Roman" w:hAnsi="Times New Roman"/>
        </w:rPr>
      </w:pPr>
      <w:r>
        <w:rPr>
          <w:rFonts w:eastAsia="Times New Roman" w:cs="Calibri" w:ascii="Times New Roman" w:hAnsi="Times New Roman"/>
          <w:b/>
          <w:bCs/>
          <w:color w:val="000000"/>
          <w:sz w:val="22"/>
          <w:szCs w:val="22"/>
          <w:lang w:val="uk-UA" w:eastAsia="ru-RU" w:bidi="ar-SA"/>
        </w:rPr>
        <w:t>ТА ПОКРОВСЬКОЇ МІСЬКОЇ РАДИ (ПМР)</w:t>
      </w:r>
    </w:p>
    <w:p>
      <w:pPr>
        <w:pStyle w:val="Normal"/>
        <w:jc w:val="center"/>
        <w:rPr>
          <w:rFonts w:ascii="Calibri" w:hAnsi="Calibri" w:eastAsia="Times New Roman" w:cs="Calibri"/>
          <w:bCs/>
          <w:color w:val="000000"/>
          <w:sz w:val="22"/>
          <w:szCs w:val="22"/>
          <w:lang w:eastAsia="ru-RU"/>
        </w:rPr>
      </w:pPr>
      <w:r>
        <w:rPr>
          <w:rFonts w:eastAsia="Times New Roman" w:cs="Calibri"/>
          <w:bCs/>
          <w:color w:val="000000"/>
          <w:sz w:val="22"/>
          <w:szCs w:val="22"/>
          <w:lang w:eastAsia="ru-RU"/>
        </w:rPr>
      </w:r>
    </w:p>
    <w:tbl>
      <w:tblPr>
        <w:tblW w:w="15031" w:type="dxa"/>
        <w:jc w:val="center"/>
        <w:tblInd w:w="0" w:type="dxa"/>
        <w:tblLayout w:type="fixed"/>
        <w:tblCellMar>
          <w:top w:w="80" w:type="dxa"/>
          <w:left w:w="75" w:type="dxa"/>
          <w:bottom w:w="80" w:type="dxa"/>
          <w:right w:w="80" w:type="dxa"/>
        </w:tblCellMar>
      </w:tblPr>
      <w:tblGrid>
        <w:gridCol w:w="1979"/>
        <w:gridCol w:w="6746"/>
        <w:gridCol w:w="6306"/>
      </w:tblGrid>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uppressAutoHyphens w:val="true"/>
              <w:spacing w:lineRule="auto" w:line="240" w:before="0" w:after="0"/>
              <w:jc w:val="center"/>
              <w:rPr>
                <w:rFonts w:ascii="Times New Roman" w:hAnsi="Times New Roman" w:eastAsia="Calibri" w:cs="Calibri"/>
                <w:b/>
                <w:b/>
                <w:bCs/>
                <w:color w:val="000000"/>
                <w:w w:val="94"/>
                <w:sz w:val="22"/>
                <w:szCs w:val="22"/>
                <w:lang w:val="uk-UA" w:eastAsia="ru-RU" w:bidi="ar-SA"/>
              </w:rPr>
            </w:pPr>
            <w:r>
              <w:rPr>
                <w:rFonts w:eastAsia="Calibri" w:cs="Calibri" w:ascii="Times New Roman" w:hAnsi="Times New Roman"/>
                <w:b/>
                <w:bCs/>
                <w:color w:val="000000"/>
                <w:w w:val="94"/>
                <w:sz w:val="22"/>
                <w:szCs w:val="22"/>
                <w:lang w:val="uk-UA" w:eastAsia="ru-RU" w:bidi="ar-SA"/>
              </w:rPr>
              <w:t>Напрями співпраці</w:t>
            </w:r>
          </w:p>
        </w:tc>
        <w:tc>
          <w:tcPr>
            <w:tcW w:w="674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uppressAutoHyphens w:val="true"/>
              <w:spacing w:lineRule="auto" w:line="240" w:before="0" w:after="0"/>
              <w:jc w:val="center"/>
              <w:rPr>
                <w:rFonts w:ascii="Times New Roman" w:hAnsi="Times New Roman" w:eastAsia="Calibri" w:cs="Calibri"/>
                <w:b/>
                <w:b/>
                <w:bCs/>
                <w:color w:val="000000"/>
                <w:w w:val="94"/>
                <w:sz w:val="22"/>
                <w:szCs w:val="22"/>
                <w:lang w:val="uk-UA" w:eastAsia="ru-RU" w:bidi="ar-SA"/>
              </w:rPr>
            </w:pPr>
            <w:r>
              <w:rPr>
                <w:rFonts w:eastAsia="Calibri" w:cs="Calibri" w:ascii="Times New Roman" w:hAnsi="Times New Roman"/>
                <w:b/>
                <w:bCs/>
                <w:color w:val="000000"/>
                <w:w w:val="94"/>
                <w:sz w:val="22"/>
                <w:szCs w:val="22"/>
                <w:lang w:val="uk-UA" w:eastAsia="ru-RU" w:bidi="ar-SA"/>
              </w:rPr>
              <w:t>Заходи та завдання за напрямами</w:t>
            </w:r>
          </w:p>
        </w:tc>
        <w:tc>
          <w:tcPr>
            <w:tcW w:w="630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uppressAutoHyphens w:val="true"/>
              <w:spacing w:lineRule="auto" w:line="240" w:before="0" w:after="0"/>
              <w:jc w:val="center"/>
              <w:rPr>
                <w:rFonts w:ascii="Times New Roman" w:hAnsi="Times New Roman" w:eastAsia="Calibri" w:cs="Calibri"/>
                <w:b/>
                <w:b/>
                <w:bCs/>
                <w:color w:val="000000"/>
                <w:w w:val="94"/>
                <w:sz w:val="22"/>
                <w:szCs w:val="22"/>
              </w:rPr>
            </w:pPr>
            <w:r>
              <w:rPr>
                <w:rFonts w:eastAsia="Calibri" w:cs="Calibri" w:ascii="Times New Roman" w:hAnsi="Times New Roman"/>
                <w:b/>
                <w:bCs/>
                <w:color w:val="000000"/>
                <w:w w:val="94"/>
                <w:sz w:val="22"/>
                <w:szCs w:val="22"/>
                <w:lang w:val="uk-UA" w:eastAsia="ru-RU" w:bidi="ar-SA"/>
              </w:rPr>
              <w:t>Результати</w:t>
            </w:r>
          </w:p>
        </w:tc>
      </w:tr>
      <w:tr>
        <w:trPr>
          <w:trHeight w:val="20" w:hRule="atLeast"/>
        </w:trPr>
        <w:tc>
          <w:tcPr>
            <w:tcW w:w="1979" w:type="dxa"/>
            <w:vMerge w:val="restart"/>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ind w:left="60" w:right="0" w:hanging="0"/>
              <w:jc w:val="left"/>
              <w:rPr>
                <w:rFonts w:ascii="Times New Roman" w:hAnsi="Times New Roman" w:eastAsia="Arial Unicode MS" w:cs="Calibri"/>
                <w:bCs/>
                <w:color w:val="000000"/>
                <w:w w:val="94"/>
                <w:sz w:val="22"/>
                <w:szCs w:val="22"/>
                <w:lang w:val="uk-UA" w:eastAsia="ru-RU" w:bidi="ar-SA"/>
              </w:rPr>
            </w:pPr>
            <w:r>
              <w:rPr>
                <w:rFonts w:eastAsia="Arial Unicode MS" w:cs="Calibri" w:ascii="Times New Roman" w:hAnsi="Times New Roman"/>
                <w:bCs/>
                <w:color w:val="000000"/>
                <w:w w:val="94"/>
                <w:sz w:val="22"/>
                <w:szCs w:val="22"/>
                <w:lang w:val="uk-UA" w:eastAsia="ru-RU" w:bidi="ar-SA"/>
              </w:rPr>
              <w:t>1. Допомога ПМР у реалізації пріоритетних завдань (на основі звіту за результатами оцінки системи інституційної доброчесності).</w:t>
            </w:r>
          </w:p>
        </w:tc>
        <w:tc>
          <w:tcPr>
            <w:tcW w:w="6746" w:type="dxa"/>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1. Допомога у нормативному та методичному забезпеченні уповноваженого підрозділу з питань виявлення та запобігання корупції:</w:t>
            </w:r>
          </w:p>
          <w:p>
            <w:pPr>
              <w:pStyle w:val="ListParagraph"/>
              <w:widowControl w:val="false"/>
              <w:suppressAutoHyphens w:val="true"/>
              <w:spacing w:lineRule="auto" w:line="240" w:before="0" w:after="0"/>
              <w:ind w:left="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1.1. Розробка нормативних документів:</w:t>
            </w:r>
          </w:p>
          <w:p>
            <w:pPr>
              <w:pStyle w:val="ListParagraph"/>
              <w:widowControl w:val="false"/>
              <w:numPr>
                <w:ilvl w:val="0"/>
                <w:numId w:val="1"/>
              </w:numPr>
              <w:tabs>
                <w:tab w:val="clear" w:pos="720"/>
                <w:tab w:val="left" w:pos="360" w:leader="none"/>
              </w:tabs>
              <w:suppressAutoHyphens w:val="true"/>
              <w:spacing w:lineRule="auto" w:line="240" w:before="0" w:after="0"/>
              <w:ind w:left="9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порядок проведення перевірок уповноваженим підрозділом;</w:t>
            </w:r>
          </w:p>
          <w:p>
            <w:pPr>
              <w:pStyle w:val="ListParagraph"/>
              <w:widowControl w:val="false"/>
              <w:numPr>
                <w:ilvl w:val="0"/>
                <w:numId w:val="1"/>
              </w:numPr>
              <w:tabs>
                <w:tab w:val="clear" w:pos="720"/>
                <w:tab w:val="left" w:pos="360" w:leader="none"/>
              </w:tabs>
              <w:suppressAutoHyphens w:val="true"/>
              <w:spacing w:lineRule="auto" w:line="240" w:before="0" w:after="0"/>
              <w:ind w:left="9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порядок проведення оцінки корупційних ризиків у діяльності ВПМР та методична допомога у підготовці плану антикорупційних заходів;</w:t>
            </w:r>
          </w:p>
          <w:p>
            <w:pPr>
              <w:pStyle w:val="ListParagraph"/>
              <w:widowControl w:val="false"/>
              <w:numPr>
                <w:ilvl w:val="0"/>
                <w:numId w:val="1"/>
              </w:numPr>
              <w:tabs>
                <w:tab w:val="clear" w:pos="720"/>
                <w:tab w:val="left" w:pos="360" w:leader="none"/>
              </w:tabs>
              <w:suppressAutoHyphens w:val="true"/>
              <w:spacing w:lineRule="auto" w:line="240" w:before="0" w:after="0"/>
              <w:ind w:left="9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порядок проведення антикорупційної експертизи;</w:t>
            </w:r>
          </w:p>
          <w:p>
            <w:pPr>
              <w:pStyle w:val="ListParagraph"/>
              <w:widowControl w:val="false"/>
              <w:numPr>
                <w:ilvl w:val="0"/>
                <w:numId w:val="1"/>
              </w:numPr>
              <w:tabs>
                <w:tab w:val="clear" w:pos="720"/>
                <w:tab w:val="left" w:pos="360" w:leader="none"/>
              </w:tabs>
              <w:suppressAutoHyphens w:val="true"/>
              <w:spacing w:lineRule="auto" w:line="240" w:before="0" w:after="0"/>
              <w:ind w:left="9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порядок роботи із повідомленнями викривачів;</w:t>
            </w:r>
          </w:p>
          <w:p>
            <w:pPr>
              <w:pStyle w:val="ListParagraph"/>
              <w:widowControl w:val="false"/>
              <w:numPr>
                <w:ilvl w:val="0"/>
                <w:numId w:val="1"/>
              </w:numPr>
              <w:tabs>
                <w:tab w:val="clear" w:pos="720"/>
                <w:tab w:val="left" w:pos="360" w:leader="none"/>
              </w:tabs>
              <w:suppressAutoHyphens w:val="true"/>
              <w:spacing w:lineRule="auto" w:line="240" w:before="0" w:after="0"/>
              <w:ind w:left="9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інші документи (в разі необхідності).</w:t>
            </w:r>
          </w:p>
          <w:p>
            <w:pPr>
              <w:pStyle w:val="ListParagraph"/>
              <w:widowControl w:val="false"/>
              <w:tabs>
                <w:tab w:val="clear" w:pos="720"/>
                <w:tab w:val="left" w:pos="360" w:leader="none"/>
              </w:tabs>
              <w:suppressAutoHyphens w:val="true"/>
              <w:spacing w:lineRule="auto" w:line="240" w:before="0" w:after="0"/>
              <w:ind w:left="9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1.2. Розробка/аналіз методичних та інших документів, а також проведення навчальних заходів:</w:t>
            </w:r>
          </w:p>
          <w:p>
            <w:pPr>
              <w:pStyle w:val="ListParagraph"/>
              <w:widowControl w:val="false"/>
              <w:numPr>
                <w:ilvl w:val="0"/>
                <w:numId w:val="1"/>
              </w:numPr>
              <w:tabs>
                <w:tab w:val="clear" w:pos="720"/>
                <w:tab w:val="left" w:pos="360" w:leader="none"/>
              </w:tabs>
              <w:suppressAutoHyphens w:val="true"/>
              <w:spacing w:lineRule="auto" w:line="240" w:before="0" w:after="0"/>
              <w:ind w:left="9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інформаційні довідки про конфлікт інтересів, про подарунки інші обмеження та заборони;</w:t>
            </w:r>
          </w:p>
          <w:p>
            <w:pPr>
              <w:pStyle w:val="ListParagraph"/>
              <w:widowControl w:val="false"/>
              <w:numPr>
                <w:ilvl w:val="0"/>
                <w:numId w:val="1"/>
              </w:numPr>
              <w:tabs>
                <w:tab w:val="clear" w:pos="720"/>
                <w:tab w:val="left" w:pos="360" w:leader="none"/>
              </w:tabs>
              <w:suppressAutoHyphens w:val="true"/>
              <w:spacing w:lineRule="auto" w:line="240" w:before="0" w:after="0"/>
              <w:ind w:left="9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декларація про відсутність потенційного конфлікту інтересів та повідомлення про наявність реального конфлікту інтересів;</w:t>
            </w:r>
          </w:p>
          <w:p>
            <w:pPr>
              <w:pStyle w:val="ListParagraph"/>
              <w:widowControl w:val="false"/>
              <w:numPr>
                <w:ilvl w:val="0"/>
                <w:numId w:val="1"/>
              </w:numPr>
              <w:tabs>
                <w:tab w:val="clear" w:pos="720"/>
                <w:tab w:val="left" w:pos="360" w:leader="none"/>
              </w:tabs>
              <w:suppressAutoHyphens w:val="true"/>
              <w:spacing w:lineRule="auto" w:line="240" w:before="0" w:after="0"/>
              <w:ind w:left="9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 xml:space="preserve">допомога у підготовці плану навчальних заходів з антикорупційної тематики; </w:t>
            </w:r>
          </w:p>
          <w:p>
            <w:pPr>
              <w:pStyle w:val="ListParagraph"/>
              <w:widowControl w:val="false"/>
              <w:numPr>
                <w:ilvl w:val="0"/>
                <w:numId w:val="1"/>
              </w:numPr>
              <w:tabs>
                <w:tab w:val="clear" w:pos="720"/>
                <w:tab w:val="left" w:pos="360" w:leader="none"/>
              </w:tabs>
              <w:suppressAutoHyphens w:val="true"/>
              <w:spacing w:lineRule="auto" w:line="240" w:before="0" w:after="0"/>
              <w:ind w:left="9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підтримка проведення навчальних заходів для працівників ВПМР (не менше 3), допомога у підготовці методичних матеріалів для уповноваженого підрозділу ВПМР (за запитом ВПМР).</w:t>
            </w:r>
          </w:p>
        </w:tc>
        <w:tc>
          <w:tcPr>
            <w:tcW w:w="6306" w:type="dxa"/>
            <w:tcBorders>
              <w:top w:val="single" w:sz="4" w:space="0" w:color="000000"/>
              <w:left w:val="single" w:sz="4" w:space="0" w:color="000000"/>
              <w:bottom w:val="single" w:sz="4" w:space="0" w:color="000000"/>
              <w:right w:val="single" w:sz="4" w:space="0" w:color="000000"/>
            </w:tcBorders>
            <w:shd w:fill="D0DDEF" w:val="clear"/>
          </w:tcPr>
          <w:p>
            <w:pPr>
              <w:pStyle w:val="ListParagraph"/>
              <w:widowControl w:val="false"/>
              <w:numPr>
                <w:ilvl w:val="0"/>
                <w:numId w:val="2"/>
              </w:numPr>
              <w:tabs>
                <w:tab w:val="clear" w:pos="720"/>
                <w:tab w:val="left" w:pos="210" w:leader="none"/>
              </w:tabs>
              <w:suppressAutoHyphens w:val="true"/>
              <w:overflowPunct w:val="false"/>
              <w:bidi w:val="0"/>
              <w:spacing w:lineRule="auto" w:line="240" w:before="0" w:after="0"/>
              <w:ind w:left="0" w:right="0" w:hanging="0"/>
              <w:contextualSpacing/>
              <w:jc w:val="left"/>
              <w:rPr>
                <w:rFonts w:ascii="Times New Roman" w:hAnsi="Times New Roman"/>
                <w:sz w:val="22"/>
                <w:szCs w:val="22"/>
              </w:rPr>
            </w:pPr>
            <w:r>
              <w:rPr>
                <w:rFonts w:eastAsia="Arial Unicode MS" w:cs="Calibri" w:ascii="Times New Roman" w:hAnsi="Times New Roman"/>
                <w:bCs/>
                <w:color w:val="000000"/>
                <w:w w:val="94"/>
                <w:sz w:val="22"/>
                <w:szCs w:val="22"/>
                <w:lang w:val="uk-UA" w:eastAsia="ru-RU" w:bidi="ar-SA"/>
              </w:rPr>
              <w:t>Положення про здійснення контролю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 затверджено розпорядженням міського голови від 06.08.2020 №183-р</w:t>
            </w:r>
          </w:p>
          <w:p>
            <w:pPr>
              <w:pStyle w:val="ListParagraph"/>
              <w:widowControl w:val="false"/>
              <w:numPr>
                <w:ilvl w:val="0"/>
                <w:numId w:val="2"/>
              </w:numPr>
              <w:tabs>
                <w:tab w:val="clear" w:pos="720"/>
                <w:tab w:val="left" w:pos="210" w:leader="none"/>
              </w:tabs>
              <w:suppressAutoHyphens w:val="true"/>
              <w:overflowPunct w:val="false"/>
              <w:bidi w:val="0"/>
              <w:spacing w:lineRule="auto" w:line="240" w:before="0" w:after="0"/>
              <w:ind w:left="0" w:right="0" w:hanging="0"/>
              <w:contextualSpacing/>
              <w:jc w:val="left"/>
              <w:rPr>
                <w:rFonts w:ascii="Times New Roman" w:hAnsi="Times New Roman"/>
                <w:sz w:val="22"/>
                <w:szCs w:val="22"/>
              </w:rPr>
            </w:pPr>
            <w:r>
              <w:rPr>
                <w:rFonts w:eastAsia="Arial Unicode MS" w:cs="Calibri" w:ascii="Times New Roman" w:hAnsi="Times New Roman"/>
                <w:bCs/>
                <w:color w:val="000000"/>
                <w:w w:val="94"/>
                <w:sz w:val="22"/>
                <w:szCs w:val="22"/>
                <w:lang w:val="uk-UA" w:eastAsia="ru-RU" w:bidi="ar-SA"/>
              </w:rPr>
              <w:t>Положення про комісію з оцінки корупційних ризиків у діяльності  Покровської міської ради, затверджено розпорядженням міського голови від 02.09.2021 №199-р</w:t>
            </w:r>
          </w:p>
          <w:p>
            <w:pPr>
              <w:pStyle w:val="ListParagraph"/>
              <w:widowControl w:val="false"/>
              <w:numPr>
                <w:ilvl w:val="0"/>
                <w:numId w:val="2"/>
              </w:numPr>
              <w:tabs>
                <w:tab w:val="clear" w:pos="720"/>
                <w:tab w:val="left" w:pos="210" w:leader="none"/>
              </w:tabs>
              <w:suppressAutoHyphens w:val="true"/>
              <w:overflowPunct w:val="false"/>
              <w:bidi w:val="0"/>
              <w:spacing w:lineRule="auto" w:line="240" w:before="0" w:after="0"/>
              <w:ind w:left="0" w:right="0" w:hanging="0"/>
              <w:contextualSpacing/>
              <w:jc w:val="left"/>
              <w:rPr>
                <w:rFonts w:ascii="Times New Roman" w:hAnsi="Times New Roman"/>
                <w:sz w:val="22"/>
                <w:szCs w:val="22"/>
              </w:rPr>
            </w:pPr>
            <w:r>
              <w:rPr>
                <w:rFonts w:eastAsia="Arial Unicode MS" w:cs="Calibri" w:ascii="Times New Roman" w:hAnsi="Times New Roman"/>
                <w:bCs/>
                <w:color w:val="000000"/>
                <w:w w:val="94"/>
                <w:sz w:val="22"/>
                <w:szCs w:val="22"/>
                <w:lang w:val="uk-UA" w:eastAsia="ru-RU" w:bidi="ar-SA"/>
              </w:rPr>
              <w:t>Порядок візування (проведення антикорупційної експертизи)  розпоряджень міського голови та проєктів рішень що виносяться на розгляд  виконавчого комітету та Покровської міської ради, затверджено розпорядженням міського голови від 12.10.2020 №232-р</w:t>
            </w:r>
          </w:p>
          <w:p>
            <w:pPr>
              <w:pStyle w:val="ListParagraph"/>
              <w:widowControl w:val="false"/>
              <w:numPr>
                <w:ilvl w:val="0"/>
                <w:numId w:val="2"/>
              </w:numPr>
              <w:tabs>
                <w:tab w:val="clear" w:pos="720"/>
                <w:tab w:val="left" w:pos="210" w:leader="none"/>
              </w:tabs>
              <w:suppressAutoHyphens w:val="true"/>
              <w:overflowPunct w:val="false"/>
              <w:bidi w:val="0"/>
              <w:spacing w:lineRule="auto" w:line="240" w:before="0" w:after="0"/>
              <w:ind w:left="0" w:right="0" w:hanging="0"/>
              <w:contextualSpacing/>
              <w:jc w:val="left"/>
              <w:rPr>
                <w:rFonts w:ascii="Times New Roman" w:hAnsi="Times New Roman"/>
                <w:sz w:val="22"/>
                <w:szCs w:val="22"/>
              </w:rPr>
            </w:pPr>
            <w:r>
              <w:rPr>
                <w:rFonts w:eastAsia="Arial Unicode MS" w:cs="Calibri" w:ascii="Times New Roman" w:hAnsi="Times New Roman"/>
                <w:bCs/>
                <w:color w:val="000000"/>
                <w:w w:val="94"/>
                <w:sz w:val="22"/>
                <w:szCs w:val="22"/>
                <w:lang w:val="uk-UA" w:eastAsia="ru-RU" w:bidi="ar-SA"/>
              </w:rPr>
              <w:t>Порядок проведення аналізу потенційних та наявних контрагентів  виконавчого комітету Покровської міської ради, затверджено розпорядженням міського голови від 12.10.2020 №231-р</w:t>
            </w:r>
          </w:p>
          <w:p>
            <w:pPr>
              <w:pStyle w:val="ListParagraph"/>
              <w:widowControl w:val="false"/>
              <w:numPr>
                <w:ilvl w:val="0"/>
                <w:numId w:val="2"/>
              </w:numPr>
              <w:tabs>
                <w:tab w:val="clear" w:pos="720"/>
                <w:tab w:val="left" w:pos="210" w:leader="none"/>
              </w:tabs>
              <w:suppressAutoHyphens w:val="true"/>
              <w:overflowPunct w:val="false"/>
              <w:bidi w:val="0"/>
              <w:spacing w:lineRule="auto" w:line="240" w:before="0" w:after="0"/>
              <w:ind w:left="0" w:right="0" w:hanging="0"/>
              <w:contextualSpacing/>
              <w:jc w:val="left"/>
              <w:rPr>
                <w:rFonts w:ascii="Times New Roman" w:hAnsi="Times New Roman"/>
                <w:sz w:val="22"/>
                <w:szCs w:val="22"/>
              </w:rPr>
            </w:pPr>
            <w:r>
              <w:rPr>
                <w:rFonts w:eastAsia="Arial Unicode MS" w:cs="Calibri" w:ascii="Times New Roman" w:hAnsi="Times New Roman"/>
                <w:bCs/>
                <w:color w:val="000000"/>
                <w:w w:val="94"/>
                <w:sz w:val="22"/>
                <w:szCs w:val="22"/>
                <w:lang w:val="uk-UA" w:eastAsia="ru-RU" w:bidi="ar-SA"/>
              </w:rPr>
              <w:t>Порядок організації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виконавчому комітеті Покровської міської ради його структурних підрозділах та комунальних підприємствах, установах та організаціях, що входять до сфери управління Покровської міської ради, затверджено рішенням виконавчого комітету Покровськой міської ради від 26.02.2020 №70(зі змінами від 26.08.2020 №345)</w:t>
            </w:r>
          </w:p>
          <w:p>
            <w:pPr>
              <w:pStyle w:val="ListParagraph"/>
              <w:widowControl w:val="false"/>
              <w:numPr>
                <w:ilvl w:val="0"/>
                <w:numId w:val="2"/>
              </w:numPr>
              <w:tabs>
                <w:tab w:val="clear" w:pos="720"/>
                <w:tab w:val="left" w:pos="210" w:leader="none"/>
              </w:tabs>
              <w:suppressAutoHyphens w:val="true"/>
              <w:overflowPunct w:val="false"/>
              <w:bidi w:val="0"/>
              <w:spacing w:lineRule="auto" w:line="240" w:before="0" w:after="0"/>
              <w:ind w:left="0" w:right="0" w:hanging="0"/>
              <w:contextualSpacing/>
              <w:jc w:val="left"/>
              <w:rPr>
                <w:rFonts w:ascii="Times New Roman" w:hAnsi="Times New Roman"/>
                <w:sz w:val="22"/>
                <w:szCs w:val="22"/>
              </w:rPr>
            </w:pPr>
            <w:r>
              <w:rPr>
                <w:rFonts w:eastAsia="Arial Unicode MS" w:cs="Calibri" w:ascii="Times New Roman" w:hAnsi="Times New Roman"/>
                <w:bCs/>
                <w:color w:val="000000"/>
                <w:w w:val="94"/>
                <w:sz w:val="22"/>
                <w:szCs w:val="22"/>
                <w:lang w:val="uk-UA" w:eastAsia="ru-RU" w:bidi="ar-SA"/>
              </w:rPr>
              <w:t>Порядок організації роботи зі зверненнями громадян у</w:t>
            </w:r>
          </w:p>
          <w:p>
            <w:pPr>
              <w:pStyle w:val="ListParagraph"/>
              <w:widowControl w:val="false"/>
              <w:numPr>
                <w:ilvl w:val="0"/>
                <w:numId w:val="0"/>
              </w:numPr>
              <w:tabs>
                <w:tab w:val="clear" w:pos="720"/>
                <w:tab w:val="left" w:pos="210" w:leader="none"/>
              </w:tabs>
              <w:suppressAutoHyphens w:val="true"/>
              <w:overflowPunct w:val="false"/>
              <w:bidi w:val="0"/>
              <w:spacing w:lineRule="auto" w:line="240" w:before="0" w:after="0"/>
              <w:ind w:left="113" w:right="0" w:hanging="0"/>
              <w:contextualSpacing/>
              <w:jc w:val="left"/>
              <w:rPr>
                <w:rFonts w:ascii="Times New Roman" w:hAnsi="Times New Roman"/>
                <w:sz w:val="22"/>
                <w:szCs w:val="22"/>
              </w:rPr>
            </w:pPr>
            <w:r>
              <w:rPr>
                <w:rFonts w:eastAsia="Arial Unicode MS" w:cs="Calibri" w:ascii="Times New Roman" w:hAnsi="Times New Roman"/>
                <w:bCs/>
                <w:color w:val="000000"/>
                <w:w w:val="94"/>
                <w:sz w:val="22"/>
                <w:szCs w:val="22"/>
                <w:lang w:val="uk-UA" w:eastAsia="ru-RU" w:bidi="ar-SA"/>
              </w:rPr>
              <w:t>виконавчому комітеті Покровської міської ради,затверджено розпорядженням міського голови від 18.05.2020 №118-р</w:t>
            </w:r>
          </w:p>
          <w:p>
            <w:pPr>
              <w:pStyle w:val="ListParagraph"/>
              <w:widowControl w:val="false"/>
              <w:numPr>
                <w:ilvl w:val="0"/>
                <w:numId w:val="2"/>
              </w:numPr>
              <w:tabs>
                <w:tab w:val="clear" w:pos="720"/>
                <w:tab w:val="left" w:pos="210" w:leader="none"/>
              </w:tabs>
              <w:suppressAutoHyphens w:val="true"/>
              <w:overflowPunct w:val="false"/>
              <w:bidi w:val="0"/>
              <w:spacing w:lineRule="auto" w:line="240" w:before="0" w:after="0"/>
              <w:ind w:left="0" w:right="0" w:hanging="0"/>
              <w:contextualSpacing/>
              <w:jc w:val="left"/>
              <w:rPr>
                <w:rFonts w:ascii="Times New Roman" w:hAnsi="Times New Roman"/>
                <w:sz w:val="22"/>
                <w:szCs w:val="22"/>
              </w:rPr>
            </w:pPr>
            <w:r>
              <w:rPr>
                <w:rFonts w:eastAsia="Arial Unicode MS" w:cs="Calibri" w:ascii="Times New Roman" w:hAnsi="Times New Roman"/>
                <w:bCs/>
                <w:color w:val="000000"/>
                <w:w w:val="94"/>
                <w:sz w:val="22"/>
                <w:szCs w:val="22"/>
                <w:lang w:val="uk-UA" w:eastAsia="ru-RU" w:bidi="ar-SA"/>
              </w:rPr>
              <w:t>Перелік службової (конфіденційної) інформації, яка знаходиться у володінні держави та перебуває в обігу у виконавчому комітеті Покровської міської ради та його структурних підрозділах, затверджено розпорядженням міського голови від 22.04.2020 №100-р</w:t>
            </w:r>
          </w:p>
          <w:p>
            <w:pPr>
              <w:pStyle w:val="ListParagraph"/>
              <w:widowControl w:val="false"/>
              <w:numPr>
                <w:ilvl w:val="0"/>
                <w:numId w:val="2"/>
              </w:numPr>
              <w:tabs>
                <w:tab w:val="clear" w:pos="720"/>
                <w:tab w:val="left" w:pos="210" w:leader="none"/>
              </w:tabs>
              <w:suppressAutoHyphens w:val="true"/>
              <w:overflowPunct w:val="false"/>
              <w:bidi w:val="0"/>
              <w:spacing w:lineRule="auto" w:line="240" w:before="0" w:after="0"/>
              <w:ind w:left="0" w:right="0" w:hanging="0"/>
              <w:contextualSpacing/>
              <w:jc w:val="left"/>
              <w:rPr>
                <w:rFonts w:ascii="Times New Roman" w:hAnsi="Times New Roman"/>
                <w:sz w:val="22"/>
                <w:szCs w:val="22"/>
              </w:rPr>
            </w:pPr>
            <w:r>
              <w:rPr>
                <w:rFonts w:eastAsia="Arial Unicode MS" w:cs="Calibri" w:ascii="Times New Roman" w:hAnsi="Times New Roman"/>
                <w:bCs/>
                <w:color w:val="000000"/>
                <w:w w:val="94"/>
                <w:sz w:val="22"/>
                <w:szCs w:val="22"/>
                <w:lang w:val="uk-UA" w:eastAsia="ru-RU" w:bidi="ar-SA"/>
              </w:rPr>
              <w:t xml:space="preserve">Проведенні навчальні заходи  </w:t>
            </w:r>
            <w:r>
              <w:rPr>
                <w:rFonts w:eastAsia="Arial Unicode MS" w:cs="Calibri" w:ascii="Times New Roman" w:hAnsi="Times New Roman"/>
                <w:bCs/>
                <w:color w:val="000000"/>
                <w:w w:val="94"/>
                <w:kern w:val="0"/>
                <w:sz w:val="22"/>
                <w:szCs w:val="22"/>
                <w:lang w:val="uk-UA" w:eastAsia="ru-RU" w:bidi="ar-SA"/>
              </w:rPr>
              <w:t>для працівників ВПМР</w:t>
            </w:r>
          </w:p>
        </w:tc>
      </w:tr>
      <w:tr>
        <w:trPr>
          <w:trHeight w:val="46" w:hRule="atLeast"/>
        </w:trPr>
        <w:tc>
          <w:tcPr>
            <w:tcW w:w="1979" w:type="dxa"/>
            <w:vMerge w:val="continue"/>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jc w:val="left"/>
              <w:rPr>
                <w:rFonts w:ascii="Times New Roman" w:hAnsi="Times New Roman"/>
                <w:sz w:val="22"/>
                <w:szCs w:val="22"/>
              </w:rPr>
            </w:pPr>
            <w:r>
              <w:rPr>
                <w:rFonts w:ascii="Times New Roman" w:hAnsi="Times New Roman"/>
                <w:sz w:val="22"/>
                <w:szCs w:val="22"/>
              </w:rPr>
            </w:r>
          </w:p>
        </w:tc>
        <w:tc>
          <w:tcPr>
            <w:tcW w:w="6746" w:type="dxa"/>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jc w:val="left"/>
              <w:rPr>
                <w:rFonts w:ascii="Times New Roman" w:hAnsi="Times New Roman" w:eastAsia="Calibri" w:cs="Calibri"/>
                <w:bCs/>
                <w:color w:val="000000"/>
                <w:w w:val="94"/>
                <w:sz w:val="22"/>
                <w:szCs w:val="22"/>
              </w:rPr>
            </w:pPr>
            <w:r>
              <w:rPr>
                <w:rFonts w:eastAsia="Calibri" w:cs="Calibri" w:ascii="Times New Roman" w:hAnsi="Times New Roman"/>
                <w:bCs/>
                <w:color w:val="000000"/>
                <w:w w:val="94"/>
                <w:sz w:val="22"/>
                <w:szCs w:val="22"/>
                <w:lang w:val="uk-UA" w:eastAsia="ru-RU" w:bidi="ar-SA"/>
              </w:rPr>
              <w:t>2. Допомога у нормативному та методичному забезпеченні створення уповноваженого підрозділу внутрішнього аудиту (за запитом ВПМР).</w:t>
            </w:r>
          </w:p>
        </w:tc>
        <w:tc>
          <w:tcPr>
            <w:tcW w:w="6306" w:type="dxa"/>
            <w:tcBorders>
              <w:top w:val="single" w:sz="4" w:space="0" w:color="000000"/>
              <w:left w:val="single" w:sz="4" w:space="0" w:color="000000"/>
              <w:bottom w:val="single" w:sz="4" w:space="0" w:color="000000"/>
              <w:right w:val="single" w:sz="4" w:space="0" w:color="000000"/>
            </w:tcBorders>
            <w:shd w:fill="D0DDEF" w:val="clear"/>
          </w:tcPr>
          <w:p>
            <w:pPr>
              <w:pStyle w:val="ListParagraph"/>
              <w:widowControl w:val="false"/>
              <w:numPr>
                <w:ilvl w:val="0"/>
                <w:numId w:val="2"/>
              </w:numPr>
              <w:tabs>
                <w:tab w:val="clear" w:pos="720"/>
                <w:tab w:val="left" w:pos="210" w:leader="none"/>
                <w:tab w:val="left" w:pos="343" w:leader="none"/>
              </w:tabs>
              <w:suppressAutoHyphens w:val="true"/>
              <w:overflowPunct w:val="false"/>
              <w:bidi w:val="0"/>
              <w:spacing w:lineRule="auto" w:line="240" w:before="0" w:after="0"/>
              <w:ind w:left="113" w:right="0" w:hanging="0"/>
              <w:contextualSpacing/>
              <w:jc w:val="left"/>
              <w:rPr>
                <w:rFonts w:ascii="Times New Roman" w:hAnsi="Times New Roman" w:cs="Calibri"/>
                <w:bCs/>
                <w:color w:val="000000"/>
                <w:w w:val="94"/>
                <w:sz w:val="22"/>
                <w:szCs w:val="22"/>
                <w:lang w:val="uk-UA" w:eastAsia="ru-RU"/>
              </w:rPr>
            </w:pPr>
            <w:r>
              <w:rPr>
                <w:rFonts w:eastAsia="Calibri" w:cs="Calibri" w:ascii="Times New Roman" w:hAnsi="Times New Roman"/>
                <w:bCs/>
                <w:color w:val="000000"/>
                <w:w w:val="94"/>
                <w:sz w:val="22"/>
                <w:szCs w:val="22"/>
                <w:lang w:val="uk-UA" w:eastAsia="ru-RU" w:bidi="ar-SA"/>
              </w:rPr>
              <w:t xml:space="preserve">За запитом підготовлено проєкт </w:t>
            </w:r>
            <w:r>
              <w:rPr>
                <w:rFonts w:eastAsia="Calibri" w:cs="Calibri" w:ascii="Times New Roman" w:hAnsi="Times New Roman"/>
                <w:bCs/>
                <w:color w:val="000000"/>
                <w:w w:val="94"/>
                <w:kern w:val="0"/>
                <w:sz w:val="22"/>
                <w:szCs w:val="22"/>
                <w:lang w:val="uk-UA" w:eastAsia="ru-RU" w:bidi="ar-SA"/>
              </w:rPr>
              <w:t>положення про сектор внутрішнього аудиту</w:t>
            </w:r>
          </w:p>
          <w:p>
            <w:pPr>
              <w:pStyle w:val="Normal"/>
              <w:widowControl w:val="false"/>
              <w:tabs>
                <w:tab w:val="clear" w:pos="720"/>
                <w:tab w:val="left" w:pos="210" w:leader="none"/>
              </w:tabs>
              <w:suppressAutoHyphens w:val="true"/>
              <w:spacing w:lineRule="auto" w:line="240" w:before="0" w:after="0"/>
              <w:jc w:val="left"/>
              <w:rPr>
                <w:rFonts w:ascii="Times New Roman" w:hAnsi="Times New Roman" w:eastAsia="Calibri" w:cs="Calibri"/>
                <w:bCs/>
                <w:color w:val="000000"/>
                <w:w w:val="94"/>
                <w:sz w:val="22"/>
                <w:szCs w:val="22"/>
                <w:lang w:val="ru-RU" w:eastAsia="ru-RU"/>
              </w:rPr>
            </w:pPr>
            <w:r>
              <w:rPr>
                <w:rFonts w:eastAsia="Calibri" w:cs="Calibri" w:ascii="Times New Roman" w:hAnsi="Times New Roman"/>
                <w:bCs/>
                <w:color w:val="000000"/>
                <w:w w:val="94"/>
                <w:sz w:val="22"/>
                <w:szCs w:val="22"/>
                <w:lang w:val="ru-RU" w:eastAsia="ru-RU"/>
              </w:rPr>
            </w:r>
          </w:p>
        </w:tc>
      </w:tr>
      <w:tr>
        <w:trPr>
          <w:trHeight w:val="46" w:hRule="atLeast"/>
        </w:trPr>
        <w:tc>
          <w:tcPr>
            <w:tcW w:w="1979" w:type="dxa"/>
            <w:vMerge w:val="continue"/>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jc w:val="left"/>
              <w:rPr>
                <w:rFonts w:ascii="Times New Roman" w:hAnsi="Times New Roman"/>
                <w:sz w:val="22"/>
                <w:szCs w:val="22"/>
              </w:rPr>
            </w:pPr>
            <w:r>
              <w:rPr>
                <w:rFonts w:ascii="Times New Roman" w:hAnsi="Times New Roman"/>
                <w:sz w:val="22"/>
                <w:szCs w:val="22"/>
              </w:rPr>
            </w:r>
          </w:p>
        </w:tc>
        <w:tc>
          <w:tcPr>
            <w:tcW w:w="6746" w:type="dxa"/>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 xml:space="preserve">3. Методична та експертна допомога у проведенні антикорупційної експертизи документів і розробці відповідних змін до документів (за запитом ВПМР). </w:t>
            </w:r>
          </w:p>
        </w:tc>
        <w:tc>
          <w:tcPr>
            <w:tcW w:w="6306" w:type="dxa"/>
            <w:tcBorders>
              <w:top w:val="single" w:sz="4" w:space="0" w:color="000000"/>
              <w:left w:val="single" w:sz="4" w:space="0" w:color="000000"/>
              <w:bottom w:val="single" w:sz="4" w:space="0" w:color="000000"/>
              <w:right w:val="single" w:sz="4" w:space="0" w:color="000000"/>
            </w:tcBorders>
            <w:shd w:fill="D0DDEF" w:val="clear"/>
          </w:tcPr>
          <w:p>
            <w:pPr>
              <w:pStyle w:val="ListParagraph"/>
              <w:widowControl w:val="false"/>
              <w:tabs>
                <w:tab w:val="clear" w:pos="720"/>
                <w:tab w:val="left" w:pos="210" w:leader="none"/>
              </w:tabs>
              <w:suppressAutoHyphens w:val="true"/>
              <w:spacing w:lineRule="auto" w:line="240" w:before="0" w:after="0"/>
              <w:ind w:left="750" w:right="0" w:hanging="0"/>
              <w:contextualSpacing/>
              <w:jc w:val="left"/>
              <w:rPr>
                <w:rFonts w:ascii="Times New Roman" w:hAnsi="Times New Roman" w:eastAsia="Calibri" w:cs="Calibri"/>
                <w:bCs/>
                <w:color w:val="000000"/>
                <w:w w:val="94"/>
                <w:sz w:val="22"/>
                <w:szCs w:val="22"/>
              </w:rPr>
            </w:pPr>
            <w:r>
              <w:rPr>
                <w:rFonts w:eastAsia="Calibri" w:cs="Calibri" w:ascii="Times New Roman" w:hAnsi="Times New Roman"/>
                <w:bCs/>
                <w:color w:val="000000"/>
                <w:w w:val="94"/>
                <w:sz w:val="22"/>
                <w:szCs w:val="22"/>
              </w:rPr>
            </w:r>
          </w:p>
        </w:tc>
      </w:tr>
      <w:tr>
        <w:trPr>
          <w:trHeight w:val="20" w:hRule="atLeast"/>
        </w:trPr>
        <w:tc>
          <w:tcPr>
            <w:tcW w:w="1979" w:type="dxa"/>
            <w:vMerge w:val="continue"/>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jc w:val="left"/>
              <w:rPr>
                <w:rFonts w:ascii="Times New Roman" w:hAnsi="Times New Roman"/>
                <w:sz w:val="22"/>
                <w:szCs w:val="22"/>
              </w:rPr>
            </w:pPr>
            <w:r>
              <w:rPr>
                <w:rFonts w:ascii="Times New Roman" w:hAnsi="Times New Roman"/>
                <w:sz w:val="22"/>
                <w:szCs w:val="22"/>
              </w:rPr>
            </w:r>
          </w:p>
        </w:tc>
        <w:tc>
          <w:tcPr>
            <w:tcW w:w="6746" w:type="dxa"/>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4. Допомога підрозділам ВПМР у питаннях доступу до публічної інформації.</w:t>
            </w:r>
          </w:p>
        </w:tc>
        <w:tc>
          <w:tcPr>
            <w:tcW w:w="6306" w:type="dxa"/>
            <w:tcBorders>
              <w:top w:val="single" w:sz="4" w:space="0" w:color="000000"/>
              <w:left w:val="single" w:sz="4" w:space="0" w:color="000000"/>
              <w:bottom w:val="single" w:sz="4" w:space="0" w:color="000000"/>
              <w:right w:val="single" w:sz="4" w:space="0" w:color="000000"/>
            </w:tcBorders>
            <w:shd w:fill="D0DDEF" w:val="clear"/>
          </w:tcPr>
          <w:p>
            <w:pPr>
              <w:pStyle w:val="ListParagraph"/>
              <w:widowControl w:val="false"/>
              <w:numPr>
                <w:ilvl w:val="0"/>
                <w:numId w:val="3"/>
              </w:numPr>
              <w:tabs>
                <w:tab w:val="clear" w:pos="720"/>
                <w:tab w:val="left" w:pos="210" w:leader="none"/>
                <w:tab w:val="left" w:pos="222" w:leader="none"/>
                <w:tab w:val="left" w:pos="455" w:leader="none"/>
              </w:tabs>
              <w:suppressAutoHyphens w:val="true"/>
              <w:overflowPunct w:val="false"/>
              <w:bidi w:val="0"/>
              <w:spacing w:lineRule="auto" w:line="240" w:before="0" w:after="0"/>
              <w:ind w:left="113" w:right="0" w:hanging="0"/>
              <w:contextualSpacing/>
              <w:jc w:val="left"/>
              <w:rPr>
                <w:rFonts w:ascii="Times New Roman" w:hAnsi="Times New Roman" w:eastAsia="Arial Unicode MS" w:cs="Calibri"/>
                <w:bCs/>
                <w:color w:val="000000"/>
                <w:w w:val="94"/>
                <w:sz w:val="22"/>
                <w:szCs w:val="22"/>
                <w:lang w:val="uk-UA" w:eastAsia="ru-RU"/>
              </w:rPr>
            </w:pPr>
            <w:r>
              <w:rPr>
                <w:rFonts w:eastAsia="Arial Unicode MS" w:cs="Calibri" w:ascii="Times New Roman" w:hAnsi="Times New Roman"/>
                <w:bCs/>
                <w:color w:val="000000"/>
                <w:w w:val="94"/>
                <w:sz w:val="22"/>
                <w:szCs w:val="22"/>
                <w:lang w:val="uk-UA" w:eastAsia="ru-RU" w:bidi="ar-SA"/>
              </w:rPr>
              <w:t xml:space="preserve">Проведенні навчальні заходи  </w:t>
            </w:r>
            <w:r>
              <w:rPr>
                <w:rFonts w:eastAsia="Arial Unicode MS" w:cs="Calibri" w:ascii="Times New Roman" w:hAnsi="Times New Roman"/>
                <w:bCs/>
                <w:color w:val="000000"/>
                <w:w w:val="94"/>
                <w:kern w:val="0"/>
                <w:sz w:val="22"/>
                <w:szCs w:val="22"/>
                <w:lang w:val="uk-UA" w:eastAsia="ru-RU" w:bidi="ar-SA"/>
              </w:rPr>
              <w:t>для працівників ВПМР</w:t>
            </w:r>
          </w:p>
        </w:tc>
      </w:tr>
      <w:tr>
        <w:trPr>
          <w:trHeight w:val="46" w:hRule="atLeast"/>
        </w:trPr>
        <w:tc>
          <w:tcPr>
            <w:tcW w:w="1979" w:type="dxa"/>
            <w:vMerge w:val="continue"/>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jc w:val="left"/>
              <w:rPr>
                <w:rFonts w:ascii="Times New Roman" w:hAnsi="Times New Roman"/>
                <w:sz w:val="22"/>
                <w:szCs w:val="22"/>
              </w:rPr>
            </w:pPr>
            <w:r>
              <w:rPr>
                <w:rFonts w:ascii="Times New Roman" w:hAnsi="Times New Roman"/>
                <w:sz w:val="22"/>
                <w:szCs w:val="22"/>
              </w:rPr>
            </w:r>
          </w:p>
        </w:tc>
        <w:tc>
          <w:tcPr>
            <w:tcW w:w="6746" w:type="dxa"/>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5. Розробка етичних правил (кодексів) чи змін до них для депутатів/ працівників, комунальних підприємств та ВПМР.</w:t>
            </w:r>
          </w:p>
        </w:tc>
        <w:tc>
          <w:tcPr>
            <w:tcW w:w="6306" w:type="dxa"/>
            <w:tcBorders>
              <w:top w:val="single" w:sz="4" w:space="0" w:color="000000"/>
              <w:left w:val="single" w:sz="4" w:space="0" w:color="000000"/>
              <w:bottom w:val="single" w:sz="4" w:space="0" w:color="000000"/>
              <w:right w:val="single" w:sz="4" w:space="0" w:color="000000"/>
            </w:tcBorders>
            <w:shd w:fill="D0DDEF" w:val="clear"/>
          </w:tcPr>
          <w:p>
            <w:pPr>
              <w:pStyle w:val="ListParagraph"/>
              <w:widowControl w:val="false"/>
              <w:numPr>
                <w:ilvl w:val="0"/>
                <w:numId w:val="2"/>
              </w:numPr>
              <w:tabs>
                <w:tab w:val="clear" w:pos="720"/>
                <w:tab w:val="left" w:pos="210" w:leader="none"/>
                <w:tab w:val="left" w:pos="455" w:leader="none"/>
              </w:tabs>
              <w:suppressAutoHyphens w:val="true"/>
              <w:overflowPunct w:val="false"/>
              <w:bidi w:val="0"/>
              <w:spacing w:lineRule="auto" w:line="240" w:before="0" w:after="0"/>
              <w:ind w:left="113"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Кодекс етичної поведінки посадових осіб та працівників виконавчого комітету Покровської міської ради, його структурних підрозділів та комунальних підприємств, установ та організацій що входять до сфери управління Покровської міської ради, затверджений розпорядженням міського голови від 30.06.2020 №148-р.</w:t>
            </w:r>
          </w:p>
        </w:tc>
      </w:tr>
      <w:tr>
        <w:trPr>
          <w:trHeight w:val="20" w:hRule="atLeast"/>
        </w:trPr>
        <w:tc>
          <w:tcPr>
            <w:tcW w:w="1979" w:type="dxa"/>
            <w:vMerge w:val="restart"/>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ind w:left="60" w:right="0" w:hanging="0"/>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2. Комунікаційна підтримка антикорупційних ініціатив ПМР</w:t>
            </w:r>
          </w:p>
        </w:tc>
        <w:tc>
          <w:tcPr>
            <w:tcW w:w="6746" w:type="dxa"/>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 xml:space="preserve">2.1. Підготовка працівників міської ради та реалізація медіа-подій, присвячених комунікації антикорупційних ініціатив мерії </w:t>
            </w:r>
          </w:p>
        </w:tc>
        <w:tc>
          <w:tcPr>
            <w:tcW w:w="6306" w:type="dxa"/>
            <w:tcBorders>
              <w:top w:val="single" w:sz="4" w:space="0" w:color="000000"/>
              <w:left w:val="single" w:sz="4" w:space="0" w:color="000000"/>
              <w:bottom w:val="single" w:sz="4" w:space="0" w:color="000000"/>
              <w:right w:val="single" w:sz="4" w:space="0" w:color="000000"/>
            </w:tcBorders>
            <w:shd w:fill="D0DDEF" w:val="clear"/>
          </w:tcPr>
          <w:p>
            <w:pPr>
              <w:pStyle w:val="ListParagraph"/>
              <w:widowControl w:val="false"/>
              <w:numPr>
                <w:ilvl w:val="0"/>
                <w:numId w:val="0"/>
              </w:numPr>
              <w:tabs>
                <w:tab w:val="clear" w:pos="720"/>
                <w:tab w:val="left" w:pos="210" w:leader="none"/>
              </w:tabs>
              <w:suppressAutoHyphens w:val="true"/>
              <w:spacing w:lineRule="auto" w:line="240" w:before="0" w:after="0"/>
              <w:ind w:left="750" w:right="0" w:hanging="0"/>
              <w:contextualSpacing/>
              <w:jc w:val="left"/>
              <w:rPr>
                <w:rFonts w:ascii="Times New Roman" w:hAnsi="Times New Roman"/>
                <w:sz w:val="22"/>
                <w:szCs w:val="22"/>
              </w:rPr>
            </w:pPr>
            <w:r>
              <w:rPr>
                <w:rFonts w:ascii="Times New Roman" w:hAnsi="Times New Roman"/>
                <w:sz w:val="22"/>
                <w:szCs w:val="22"/>
              </w:rPr>
            </w:r>
          </w:p>
        </w:tc>
      </w:tr>
      <w:tr>
        <w:trPr>
          <w:trHeight w:val="20" w:hRule="atLeast"/>
        </w:trPr>
        <w:tc>
          <w:tcPr>
            <w:tcW w:w="1979" w:type="dxa"/>
            <w:vMerge w:val="continue"/>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jc w:val="left"/>
              <w:rPr>
                <w:rFonts w:ascii="Times New Roman" w:hAnsi="Times New Roman"/>
                <w:sz w:val="22"/>
                <w:szCs w:val="22"/>
              </w:rPr>
            </w:pPr>
            <w:r>
              <w:rPr>
                <w:rFonts w:ascii="Times New Roman" w:hAnsi="Times New Roman"/>
                <w:sz w:val="22"/>
                <w:szCs w:val="22"/>
              </w:rPr>
            </w:r>
          </w:p>
        </w:tc>
        <w:tc>
          <w:tcPr>
            <w:tcW w:w="6746" w:type="dxa"/>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 xml:space="preserve">2.2. Розробка та реалізація медіа-кампаній навколо фокусних для міської ради результатів антикорупційних ініціатив </w:t>
            </w:r>
          </w:p>
        </w:tc>
        <w:tc>
          <w:tcPr>
            <w:tcW w:w="6306" w:type="dxa"/>
            <w:tcBorders>
              <w:top w:val="single" w:sz="4" w:space="0" w:color="000000"/>
              <w:left w:val="single" w:sz="4" w:space="0" w:color="000000"/>
              <w:bottom w:val="single" w:sz="4" w:space="0" w:color="000000"/>
              <w:right w:val="single" w:sz="4" w:space="0" w:color="000000"/>
            </w:tcBorders>
            <w:shd w:fill="D0DDEF" w:val="clear"/>
          </w:tcPr>
          <w:p>
            <w:pPr>
              <w:pStyle w:val="ListParagraph"/>
              <w:widowControl w:val="false"/>
              <w:numPr>
                <w:ilvl w:val="0"/>
                <w:numId w:val="0"/>
              </w:numPr>
              <w:tabs>
                <w:tab w:val="clear" w:pos="720"/>
                <w:tab w:val="left" w:pos="210" w:leader="none"/>
              </w:tabs>
              <w:suppressAutoHyphens w:val="true"/>
              <w:spacing w:lineRule="auto" w:line="240" w:before="0" w:after="0"/>
              <w:ind w:left="750" w:right="0" w:hanging="0"/>
              <w:contextualSpacing/>
              <w:jc w:val="left"/>
              <w:rPr>
                <w:rFonts w:ascii="Times New Roman" w:hAnsi="Times New Roman"/>
                <w:sz w:val="22"/>
                <w:szCs w:val="22"/>
              </w:rPr>
            </w:pPr>
            <w:r>
              <w:rPr>
                <w:rFonts w:ascii="Times New Roman" w:hAnsi="Times New Roman"/>
                <w:sz w:val="22"/>
                <w:szCs w:val="22"/>
              </w:rPr>
            </w:r>
          </w:p>
        </w:tc>
      </w:tr>
      <w:tr>
        <w:trPr>
          <w:trHeight w:val="1006" w:hRule="atLeast"/>
        </w:trPr>
        <w:tc>
          <w:tcPr>
            <w:tcW w:w="1979" w:type="dxa"/>
            <w:vMerge w:val="continue"/>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jc w:val="left"/>
              <w:rPr>
                <w:rFonts w:ascii="Times New Roman" w:hAnsi="Times New Roman"/>
                <w:sz w:val="22"/>
                <w:szCs w:val="22"/>
              </w:rPr>
            </w:pPr>
            <w:r>
              <w:rPr>
                <w:rFonts w:ascii="Times New Roman" w:hAnsi="Times New Roman"/>
                <w:sz w:val="22"/>
                <w:szCs w:val="22"/>
              </w:rPr>
            </w:r>
          </w:p>
        </w:tc>
        <w:tc>
          <w:tcPr>
            <w:tcW w:w="6746" w:type="dxa"/>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2.3 Підготовка рекомендацій щодо внутрішніх та зовнішніх комунікацій щодо ухвалених в рамках співпраці з проектом антикорупційних ініціатив (зокрема нормативно-правових актів)</w:t>
            </w:r>
          </w:p>
        </w:tc>
        <w:tc>
          <w:tcPr>
            <w:tcW w:w="6306" w:type="dxa"/>
            <w:tcBorders>
              <w:top w:val="single" w:sz="4" w:space="0" w:color="000000"/>
              <w:left w:val="single" w:sz="4" w:space="0" w:color="000000"/>
              <w:bottom w:val="single" w:sz="4" w:space="0" w:color="000000"/>
              <w:right w:val="single" w:sz="4" w:space="0" w:color="000000"/>
            </w:tcBorders>
            <w:shd w:fill="D0DDEF" w:val="clear"/>
          </w:tcPr>
          <w:p>
            <w:pPr>
              <w:pStyle w:val="ListParagraph"/>
              <w:widowControl w:val="false"/>
              <w:numPr>
                <w:ilvl w:val="0"/>
                <w:numId w:val="2"/>
              </w:numPr>
              <w:tabs>
                <w:tab w:val="clear" w:pos="720"/>
                <w:tab w:val="left" w:pos="210" w:leader="none"/>
                <w:tab w:val="left" w:pos="343" w:leader="none"/>
              </w:tabs>
              <w:suppressAutoHyphens w:val="true"/>
              <w:spacing w:lineRule="auto" w:line="240" w:before="0" w:after="0"/>
              <w:ind w:left="3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Рекомендації підготовлено</w:t>
            </w:r>
          </w:p>
        </w:tc>
      </w:tr>
      <w:tr>
        <w:trPr>
          <w:trHeight w:val="1006" w:hRule="atLeast"/>
        </w:trPr>
        <w:tc>
          <w:tcPr>
            <w:tcW w:w="1979" w:type="dxa"/>
            <w:vMerge w:val="restart"/>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jc w:val="left"/>
              <w:rPr>
                <w:rFonts w:ascii="Times New Roman" w:hAnsi="Times New Roman" w:eastAsia="Arial Unicode MS" w:cs="Calibri"/>
                <w:bCs/>
                <w:color w:val="000000"/>
                <w:w w:val="94"/>
                <w:sz w:val="22"/>
                <w:szCs w:val="22"/>
                <w:lang w:val="uk-UA" w:eastAsia="ru-RU" w:bidi="ar-SA"/>
              </w:rPr>
            </w:pPr>
            <w:r>
              <w:rPr>
                <w:rFonts w:eastAsia="Arial Unicode MS" w:cs="Calibri" w:ascii="Times New Roman" w:hAnsi="Times New Roman"/>
                <w:bCs/>
                <w:color w:val="000000"/>
                <w:w w:val="94"/>
                <w:sz w:val="22"/>
                <w:szCs w:val="22"/>
                <w:lang w:val="uk-UA" w:eastAsia="ru-RU" w:bidi="ar-SA"/>
              </w:rPr>
              <w:t>3.Залучення громадян та молоді міста до діалогу про доброчесність та прозорість</w:t>
            </w:r>
          </w:p>
        </w:tc>
        <w:tc>
          <w:tcPr>
            <w:tcW w:w="6746" w:type="dxa"/>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3.1. Сприяння розвитку громадських ініціатив доброчесності та прозорості, зокрема шляхом інформування містян про конструктивні способи взаємодії з владою, орієнтовані на співпрацю, допомозі в оформленні ідей та їх реалізації.</w:t>
            </w:r>
          </w:p>
        </w:tc>
        <w:tc>
          <w:tcPr>
            <w:tcW w:w="6306" w:type="dxa"/>
            <w:tcBorders>
              <w:top w:val="single" w:sz="4" w:space="0" w:color="000000"/>
              <w:left w:val="single" w:sz="4" w:space="0" w:color="000000"/>
              <w:bottom w:val="single" w:sz="4" w:space="0" w:color="000000"/>
              <w:right w:val="single" w:sz="4" w:space="0" w:color="000000"/>
            </w:tcBorders>
            <w:shd w:fill="D0DDEF" w:val="clear"/>
          </w:tcPr>
          <w:p>
            <w:pPr>
              <w:pStyle w:val="ListParagraph"/>
              <w:widowControl w:val="false"/>
              <w:numPr>
                <w:ilvl w:val="0"/>
                <w:numId w:val="2"/>
              </w:numPr>
              <w:tabs>
                <w:tab w:val="clear" w:pos="720"/>
                <w:tab w:val="left" w:pos="210" w:leader="none"/>
                <w:tab w:val="left" w:pos="283" w:leader="none"/>
              </w:tabs>
              <w:suppressAutoHyphens w:val="true"/>
              <w:spacing w:lineRule="auto" w:line="240" w:before="0" w:after="0"/>
              <w:ind w:left="3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Підготовлено матеріали, проведено презентації та навчання, надана допомога громадським організаціям або ініціативним групам з питань доброчесності та прозорості.</w:t>
            </w:r>
          </w:p>
        </w:tc>
      </w:tr>
      <w:tr>
        <w:trPr>
          <w:trHeight w:val="1006" w:hRule="atLeast"/>
        </w:trPr>
        <w:tc>
          <w:tcPr>
            <w:tcW w:w="1979" w:type="dxa"/>
            <w:vMerge w:val="continue"/>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jc w:val="left"/>
              <w:rPr>
                <w:rFonts w:ascii="Times New Roman" w:hAnsi="Times New Roman"/>
                <w:sz w:val="22"/>
                <w:szCs w:val="22"/>
              </w:rPr>
            </w:pPr>
            <w:r>
              <w:rPr>
                <w:rFonts w:ascii="Times New Roman" w:hAnsi="Times New Roman"/>
                <w:sz w:val="22"/>
                <w:szCs w:val="22"/>
              </w:rPr>
            </w:r>
          </w:p>
        </w:tc>
        <w:tc>
          <w:tcPr>
            <w:tcW w:w="6746" w:type="dxa"/>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jc w:val="left"/>
              <w:rPr>
                <w:rFonts w:ascii="Times New Roman" w:hAnsi="Times New Roman" w:eastAsia="Calibri" w:cs="Calibri"/>
                <w:bCs/>
                <w:color w:val="000000"/>
                <w:w w:val="94"/>
                <w:sz w:val="22"/>
                <w:szCs w:val="22"/>
              </w:rPr>
            </w:pPr>
            <w:r>
              <w:rPr>
                <w:rFonts w:eastAsia="Calibri" w:cs="Calibri" w:ascii="Times New Roman" w:hAnsi="Times New Roman"/>
                <w:bCs/>
                <w:color w:val="000000"/>
                <w:w w:val="94"/>
                <w:sz w:val="22"/>
                <w:szCs w:val="22"/>
                <w:lang w:val="uk-UA" w:eastAsia="ru-RU" w:bidi="ar-SA"/>
              </w:rPr>
              <w:t>3.2. Формування у молоді міста бачення негативних наслідків корупції для суспільства, зокрема у партнерстві з громадськими організаціями, навчальними закладами з метою навчання з питань доброчесності та прозорості, проведення спільних заходів та участі у подіях партнерів.</w:t>
            </w:r>
          </w:p>
        </w:tc>
        <w:tc>
          <w:tcPr>
            <w:tcW w:w="6306" w:type="dxa"/>
            <w:tcBorders>
              <w:top w:val="single" w:sz="4" w:space="0" w:color="000000"/>
              <w:left w:val="single" w:sz="4" w:space="0" w:color="000000"/>
              <w:bottom w:val="single" w:sz="4" w:space="0" w:color="000000"/>
              <w:right w:val="single" w:sz="4" w:space="0" w:color="000000"/>
            </w:tcBorders>
            <w:shd w:fill="D0DDEF" w:val="clear"/>
          </w:tcPr>
          <w:p>
            <w:pPr>
              <w:pStyle w:val="ListParagraph"/>
              <w:widowControl w:val="false"/>
              <w:numPr>
                <w:ilvl w:val="0"/>
                <w:numId w:val="2"/>
              </w:numPr>
              <w:tabs>
                <w:tab w:val="clear" w:pos="720"/>
                <w:tab w:val="left" w:pos="210" w:leader="none"/>
                <w:tab w:val="left" w:pos="283" w:leader="none"/>
              </w:tabs>
              <w:suppressAutoHyphens w:val="true"/>
              <w:spacing w:lineRule="auto" w:line="240" w:before="0" w:after="0"/>
              <w:ind w:left="3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Підготовлено матеріали, проведено презентації та навчання.</w:t>
            </w:r>
          </w:p>
        </w:tc>
      </w:tr>
      <w:tr>
        <w:trPr>
          <w:trHeight w:val="1050" w:hRule="atLeast"/>
        </w:trPr>
        <w:tc>
          <w:tcPr>
            <w:tcW w:w="1979" w:type="dxa"/>
            <w:tcBorders>
              <w:top w:val="single" w:sz="4" w:space="0" w:color="000000"/>
              <w:left w:val="single" w:sz="4" w:space="0" w:color="000000"/>
              <w:bottom w:val="single" w:sz="4" w:space="0" w:color="000000"/>
              <w:right w:val="single" w:sz="4" w:space="0" w:color="000000"/>
            </w:tcBorders>
            <w:shd w:fill="D0DDEF" w:val="clear"/>
            <w:tcMar>
              <w:top w:w="0" w:type="dxa"/>
              <w:left w:w="0" w:type="dxa"/>
              <w:bottom w:w="0" w:type="dxa"/>
              <w:right w:w="0" w:type="dxa"/>
            </w:tcMar>
          </w:tcPr>
          <w:p>
            <w:pPr>
              <w:pStyle w:val="Normal"/>
              <w:widowControl w:val="false"/>
              <w:suppressAutoHyphens w:val="true"/>
              <w:spacing w:lineRule="auto" w:line="240" w:before="0" w:after="0"/>
              <w:ind w:left="142" w:right="0" w:hanging="0"/>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4. Підтримка інших антикорупційних ініціатив ПМР</w:t>
            </w:r>
          </w:p>
        </w:tc>
        <w:tc>
          <w:tcPr>
            <w:tcW w:w="6746" w:type="dxa"/>
            <w:tcBorders>
              <w:top w:val="single" w:sz="4" w:space="0" w:color="000000"/>
              <w:left w:val="single" w:sz="4" w:space="0" w:color="000000"/>
              <w:bottom w:val="single" w:sz="4" w:space="0" w:color="000000"/>
              <w:right w:val="single" w:sz="4" w:space="0" w:color="000000"/>
            </w:tcBorders>
            <w:shd w:fill="D0DDEF" w:val="clear"/>
          </w:tcPr>
          <w:p>
            <w:pPr>
              <w:pStyle w:val="Normal"/>
              <w:widowControl w:val="false"/>
              <w:suppressAutoHyphens w:val="true"/>
              <w:spacing w:lineRule="auto" w:line="240" w:before="0" w:after="0"/>
              <w:jc w:val="left"/>
              <w:rPr>
                <w:rFonts w:ascii="Times New Roman" w:hAnsi="Times New Roman" w:eastAsia="Arial Unicode MS" w:cs="Calibri"/>
                <w:bCs/>
                <w:color w:val="000000"/>
                <w:w w:val="94"/>
                <w:sz w:val="22"/>
                <w:szCs w:val="22"/>
                <w:lang w:eastAsia="ru-RU"/>
              </w:rPr>
            </w:pPr>
            <w:r>
              <w:rPr>
                <w:rFonts w:eastAsia="Arial Unicode MS" w:cs="Calibri" w:ascii="Times New Roman" w:hAnsi="Times New Roman"/>
                <w:bCs/>
                <w:color w:val="000000"/>
                <w:w w:val="94"/>
                <w:sz w:val="22"/>
                <w:szCs w:val="22"/>
                <w:lang w:val="uk-UA" w:eastAsia="ru-RU" w:bidi="ar-SA"/>
              </w:rPr>
              <w:t>4.1. Надання (за наявності фінансових можливостей) технічної допомоги для реалізації інших антикорупційних завдань на запит ВПМР.</w:t>
            </w:r>
          </w:p>
        </w:tc>
        <w:tc>
          <w:tcPr>
            <w:tcW w:w="6306" w:type="dxa"/>
            <w:tcBorders>
              <w:top w:val="single" w:sz="4" w:space="0" w:color="000000"/>
              <w:left w:val="single" w:sz="4" w:space="0" w:color="000000"/>
              <w:bottom w:val="single" w:sz="4" w:space="0" w:color="000000"/>
              <w:right w:val="single" w:sz="4" w:space="0" w:color="000000"/>
            </w:tcBorders>
            <w:shd w:fill="D0DDEF" w:val="clear"/>
          </w:tcPr>
          <w:p>
            <w:pPr>
              <w:pStyle w:val="ListParagraph"/>
              <w:widowControl w:val="false"/>
              <w:numPr>
                <w:ilvl w:val="0"/>
                <w:numId w:val="2"/>
              </w:numPr>
              <w:tabs>
                <w:tab w:val="clear" w:pos="720"/>
                <w:tab w:val="left" w:pos="210" w:leader="none"/>
                <w:tab w:val="left" w:pos="222" w:leader="none"/>
              </w:tabs>
              <w:suppressAutoHyphens w:val="true"/>
              <w:spacing w:lineRule="auto" w:line="240" w:before="0" w:after="0"/>
              <w:ind w:left="30" w:right="0" w:hanging="0"/>
              <w:contextualSpacing/>
              <w:jc w:val="left"/>
              <w:rPr>
                <w:rFonts w:ascii="Times New Roman" w:hAnsi="Times New Roman" w:eastAsia="Calibri" w:cs="Calibri"/>
                <w:bCs/>
                <w:color w:val="000000"/>
                <w:w w:val="94"/>
                <w:sz w:val="22"/>
                <w:szCs w:val="22"/>
                <w:lang w:val="uk-UA" w:eastAsia="ru-RU" w:bidi="ar-SA"/>
              </w:rPr>
            </w:pPr>
            <w:r>
              <w:rPr>
                <w:rFonts w:eastAsia="Calibri" w:cs="Calibri" w:ascii="Times New Roman" w:hAnsi="Times New Roman"/>
                <w:bCs/>
                <w:color w:val="000000"/>
                <w:w w:val="94"/>
                <w:sz w:val="22"/>
                <w:szCs w:val="22"/>
                <w:lang w:val="uk-UA" w:eastAsia="ru-RU" w:bidi="ar-SA"/>
              </w:rPr>
              <w:t>Грантова угода у не грошовій формі,  програмний продукт “Система електронного документообігу та автоматизації бізнес процесів “Megapolis.DocNet”</w:t>
            </w:r>
          </w:p>
        </w:tc>
      </w:tr>
    </w:tbl>
    <w:p>
      <w:pPr>
        <w:pStyle w:val="Normal"/>
        <w:spacing w:before="0" w:after="0"/>
        <w:contextualSpacing/>
        <w:jc w:val="both"/>
        <w:rPr>
          <w:rFonts w:ascii="Calibri" w:hAnsi="Calibri" w:eastAsia="Times New Roman" w:cs="Calibri"/>
          <w:color w:val="000000"/>
          <w:sz w:val="22"/>
          <w:szCs w:val="22"/>
          <w:lang w:eastAsia="en-GB"/>
        </w:rPr>
      </w:pPr>
      <w:r>
        <w:rPr/>
      </w:r>
    </w:p>
    <w:sectPr>
      <w:type w:val="nextPage"/>
      <w:pgSz w:orient="landscape" w:w="16838" w:h="11906"/>
      <w:pgMar w:left="1134" w:right="821" w:gutter="0" w:header="0" w:top="533" w:footer="0" w:bottom="72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variable"/>
  </w:font>
  <w:font w:name="Times New Roman">
    <w:charset w:val="cc"/>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sz w:val="22"/>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9"/>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Calibri" w:hAnsi="Calibri" w:eastAsia="Calibri" w:cs="Tahoma"/>
      <w:color w:val="auto"/>
      <w:kern w:val="0"/>
      <w:sz w:val="24"/>
      <w:szCs w:val="24"/>
      <w:lang w:val="uk-UA" w:eastAsia="en-US" w:bidi="ar-SA"/>
    </w:rPr>
  </w:style>
  <w:style w:type="character" w:styleId="DefaultParagraphFont">
    <w:name w:val="Default Paragraph Font"/>
    <w:qFormat/>
    <w:rPr/>
  </w:style>
  <w:style w:type="character" w:styleId="Style14">
    <w:name w:val="Прив'язка виноски"/>
    <w:rPr>
      <w:vertAlign w:val="superscript"/>
    </w:rPr>
  </w:style>
  <w:style w:type="character" w:styleId="Style15">
    <w:name w:val="Символи виноски"/>
    <w:qFormat/>
    <w:rPr/>
  </w:style>
  <w:style w:type="character" w:styleId="Style16">
    <w:name w:val="Маркери"/>
    <w:qFormat/>
    <w:rPr>
      <w:rFonts w:ascii="OpenSymbol" w:hAnsi="OpenSymbol" w:eastAsia="OpenSymbol" w:cs="OpenSymbol"/>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Покажчик"/>
    <w:basedOn w:val="Normal"/>
    <w:qFormat/>
    <w:pPr>
      <w:suppressLineNumbers/>
    </w:pPr>
    <w:rPr>
      <w:rFonts w:cs="Lohit Devanagari"/>
    </w:rPr>
  </w:style>
  <w:style w:type="paragraph" w:styleId="Style22">
    <w:name w:val="Указатель"/>
    <w:basedOn w:val="Normal"/>
    <w:qFormat/>
    <w:pPr>
      <w:suppressLineNumbers/>
    </w:pPr>
    <w:rPr>
      <w:rFonts w:cs="Lohit Devanagari"/>
    </w:rPr>
  </w:style>
  <w:style w:type="paragraph" w:styleId="ListParagraph">
    <w:name w:val="List Paragraph"/>
    <w:basedOn w:val="Normal"/>
    <w:qFormat/>
    <w:pPr>
      <w:spacing w:before="0" w:after="0"/>
      <w:ind w:left="720" w:right="0" w:hanging="0"/>
      <w:contextualSpacing/>
    </w:pPr>
    <w:rPr/>
  </w:style>
  <w:style w:type="paragraph" w:styleId="Style23">
    <w:name w:val="Вміст таблиці"/>
    <w:basedOn w:val="Normal"/>
    <w:qFormat/>
    <w:pPr>
      <w:widowControl w:val="false"/>
      <w:suppressLineNumbers/>
    </w:pPr>
    <w:rPr/>
  </w:style>
  <w:style w:type="paragraph" w:styleId="Style24">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257</TotalTime>
  <Application>LibreOffice/7.2.2.2$Windows_X86_64 LibreOffice_project/02b2acce88a210515b4a5bb2e46cbfb63fe97d56</Application>
  <AppVersion>15.0000</AppVersion>
  <Pages>2</Pages>
  <Words>699</Words>
  <Characters>5035</Characters>
  <CharactersWithSpaces>5673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2020-02-26T16:59:00Z</dcterms:created>
  <dc:creator>Igor Osyka</dc:creator>
  <dc:description/>
  <dc:language>ru-RU</dc:language>
  <cp:lastModifiedBy/>
  <cp:lastPrinted>2020-02-27T07:59:07Z</cp:lastPrinted>
  <dcterms:modified xsi:type="dcterms:W3CDTF">2021-11-17T14:11:27Z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