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right"/>
        <w:rPr>
          <w:b/>
          <w:b/>
          <w:bCs/>
          <w:sz w:val="28"/>
          <w:szCs w:val="28"/>
        </w:rPr>
      </w:pPr>
      <w:r>
        <w:rPr>
          <w:b/>
          <w:bCs/>
          <w:sz w:val="28"/>
          <w:szCs w:val="28"/>
        </w:rPr>
        <w:t>копія</w:t>
      </w:r>
    </w:p>
    <w:p>
      <w:pPr>
        <w:pStyle w:val="Style16"/>
        <w:spacing w:before="0" w:after="0"/>
        <w:jc w:val="center"/>
        <w:rPr>
          <w:b/>
          <w:b/>
          <w:bCs/>
          <w:sz w:val="6"/>
          <w:szCs w:val="6"/>
        </w:rPr>
      </w:pPr>
      <w:r>
        <w:rPr>
          <w:b/>
          <w:bCs/>
          <w:sz w:val="6"/>
          <w:szCs w:val="6"/>
        </w:rPr>
        <w:drawing>
          <wp:anchor behindDoc="0" distT="0" distB="3175" distL="114935" distR="114935" simplePos="0" locked="0" layoutInCell="1" allowOverlap="1" relativeHeight="2">
            <wp:simplePos x="0" y="0"/>
            <wp:positionH relativeFrom="column">
              <wp:posOffset>2896235</wp:posOffset>
            </wp:positionH>
            <wp:positionV relativeFrom="paragraph">
              <wp:posOffset>-116840</wp:posOffset>
            </wp:positionV>
            <wp:extent cx="426085" cy="60642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26085" cy="606425"/>
                    </a:xfrm>
                    <a:prstGeom prst="rect">
                      <a:avLst/>
                    </a:prstGeom>
                  </pic:spPr>
                </pic:pic>
              </a:graphicData>
            </a:graphic>
          </wp:anchor>
        </w:drawing>
      </w:r>
    </w:p>
    <w:p>
      <w:pPr>
        <w:pStyle w:val="Style16"/>
        <w:spacing w:before="0" w:after="0"/>
        <w:jc w:val="center"/>
        <w:rPr/>
      </w:pPr>
      <w:r>
        <w:rPr>
          <w:b/>
          <w:bCs/>
          <w:sz w:val="28"/>
          <w:szCs w:val="28"/>
        </w:rPr>
        <w:t>ПОКРОВСЬКА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lang w:val="ru-RU" w:eastAsia="ru-RU"/>
        </w:rPr>
      </w:pPr>
      <w:r>
        <w:rPr>
          <w:lang w:val="ru-RU" w:eastAsia="ru-RU"/>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170180</wp:posOffset>
                </wp:positionV>
                <wp:extent cx="6128385" cy="22225"/>
                <wp:effectExtent l="10795" t="10160" r="17780" b="9525"/>
                <wp:wrapNone/>
                <wp:docPr id="2" name="Прямая соединительная линия 1"/>
                <a:graphic xmlns:a="http://schemas.openxmlformats.org/drawingml/2006/main">
                  <a:graphicData uri="http://schemas.microsoft.com/office/word/2010/wordprocessingShape">
                    <wps:wsp>
                      <wps:cNvSpPr/>
                      <wps:spPr>
                        <a:xfrm flipV="1">
                          <a:off x="0" y="0"/>
                          <a:ext cx="612792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3.05pt" to="483.75pt,13.7pt" ID="Прямая соединительная линия 1" stroked="t" style="position:absolute;flip:y">
                <v:stroke color="black" weight="17640" joinstyle="miter" endcap="flat"/>
                <v:fill o:detectmouseclick="t" on="false"/>
              </v:line>
            </w:pict>
          </mc:Fallback>
        </mc:AlternateContent>
      </w:r>
    </w:p>
    <w:p>
      <w:pPr>
        <w:pStyle w:val="Style16"/>
        <w:spacing w:before="0" w:after="0"/>
        <w:jc w:val="center"/>
        <w:rPr/>
      </w:pPr>
      <w:r>
        <w:rPr>
          <w:b/>
          <w:sz w:val="28"/>
          <w:szCs w:val="28"/>
        </w:rPr>
        <w:t xml:space="preserve"> </w:t>
      </w:r>
      <w:r>
        <w:rPr>
          <w:b/>
          <w:sz w:val="28"/>
          <w:szCs w:val="28"/>
        </w:rPr>
        <w:t>РІШЕННЯ</w:t>
      </w:r>
    </w:p>
    <w:p>
      <w:pPr>
        <w:pStyle w:val="211"/>
        <w:ind w:hanging="0"/>
        <w:jc w:val="both"/>
        <w:rPr/>
      </w:pPr>
      <w:r>
        <w:rPr>
          <w:sz w:val="28"/>
          <w:szCs w:val="28"/>
        </w:rPr>
        <w:t>31.05.2019</w:t>
        <w:tab/>
        <w:tab/>
        <w:t xml:space="preserve">                       </w:t>
        <w:tab/>
        <w:t xml:space="preserve"> м.Покров                         </w:t>
        <w:tab/>
        <w:tab/>
        <w:t xml:space="preserve">        № 4</w:t>
      </w:r>
    </w:p>
    <w:p>
      <w:pPr>
        <w:pStyle w:val="Normal"/>
        <w:tabs>
          <w:tab w:val="clear" w:pos="708"/>
          <w:tab w:val="left" w:pos="2360" w:leader="none"/>
        </w:tabs>
        <w:spacing w:lineRule="auto" w:line="240" w:before="0" w:after="0"/>
        <w:jc w:val="center"/>
        <w:rPr>
          <w:rFonts w:ascii="Times New Roman" w:hAnsi="Times New Roman"/>
          <w:sz w:val="26"/>
          <w:szCs w:val="26"/>
        </w:rPr>
      </w:pPr>
      <w:r>
        <w:rPr>
          <w:rFonts w:ascii="Times New Roman" w:hAnsi="Times New Roman"/>
          <w:sz w:val="26"/>
          <w:szCs w:val="26"/>
        </w:rPr>
      </w:r>
    </w:p>
    <w:p>
      <w:pPr>
        <w:pStyle w:val="Normal"/>
        <w:tabs>
          <w:tab w:val="clear" w:pos="708"/>
          <w:tab w:val="left" w:pos="2360" w:leader="none"/>
        </w:tabs>
        <w:spacing w:lineRule="auto" w:line="240" w:before="0" w:after="0"/>
        <w:jc w:val="center"/>
        <w:rPr/>
      </w:pPr>
      <w:r>
        <w:rPr>
          <w:rFonts w:ascii="Times New Roman" w:hAnsi="Times New Roman"/>
          <w:sz w:val="28"/>
          <w:szCs w:val="28"/>
        </w:rPr>
        <w:t>(45 сесія 7 скликання)</w:t>
      </w:r>
    </w:p>
    <w:p>
      <w:pPr>
        <w:pStyle w:val="Normal"/>
        <w:tabs>
          <w:tab w:val="clear" w:pos="708"/>
          <w:tab w:val="left" w:pos="2360" w:leader="none"/>
        </w:tabs>
        <w:spacing w:lineRule="auto" w:line="240" w:before="0" w:after="0"/>
        <w:rPr>
          <w:rFonts w:ascii="Times New Roman" w:hAnsi="Times New Roman"/>
          <w:sz w:val="26"/>
          <w:szCs w:val="26"/>
        </w:rPr>
      </w:pPr>
      <w:r>
        <w:rPr>
          <w:rFonts w:ascii="Times New Roman" w:hAnsi="Times New Roman"/>
          <w:sz w:val="26"/>
          <w:szCs w:val="26"/>
        </w:rPr>
      </w:r>
    </w:p>
    <w:p>
      <w:pPr>
        <w:pStyle w:val="Normal"/>
        <w:widowControl w:val="false"/>
        <w:suppressAutoHyphens w:val="true"/>
        <w:bidi w:val="0"/>
        <w:spacing w:lineRule="auto" w:line="240" w:before="0" w:after="0"/>
        <w:ind w:left="0" w:right="0" w:hanging="0"/>
        <w:jc w:val="both"/>
        <w:rPr/>
      </w:pPr>
      <w:bookmarkStart w:id="0" w:name="__DdeLink__3680_2154855818"/>
      <w:r>
        <w:rPr>
          <w:rFonts w:ascii="Times New Roman" w:hAnsi="Times New Roman"/>
          <w:color w:val="000000"/>
          <w:spacing w:val="3"/>
          <w:sz w:val="28"/>
          <w:szCs w:val="28"/>
          <w:lang w:val="uk-UA"/>
        </w:rPr>
        <w:t>Про внесення змін у ставки податку на нерухоме майно, відмінне від земельної ділянки для об'єктів нерухомості</w:t>
      </w:r>
      <w:bookmarkEnd w:id="0"/>
      <w:r>
        <w:rPr>
          <w:rFonts w:ascii="Times New Roman" w:hAnsi="Times New Roman"/>
          <w:color w:val="000000"/>
          <w:spacing w:val="3"/>
          <w:position w:val="0"/>
          <w:sz w:val="28"/>
          <w:sz w:val="28"/>
          <w:szCs w:val="28"/>
          <w:vertAlign w:val="baseline"/>
          <w:lang w:val="uk-UA"/>
        </w:rPr>
        <w:t>, затверджені рішенням 43 сесії міської ради 7 скликання від 29.03.2019 № 12</w:t>
      </w:r>
    </w:p>
    <w:p>
      <w:pPr>
        <w:pStyle w:val="Normal"/>
        <w:spacing w:lineRule="auto" w:line="240" w:before="0" w:after="0"/>
        <w:ind w:right="5528"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right="5528"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pPr>
      <w:r>
        <w:rPr>
          <w:rFonts w:ascii="Times New Roman" w:hAnsi="Times New Roman"/>
          <w:sz w:val="28"/>
          <w:szCs w:val="28"/>
        </w:rPr>
        <w:t>З метою наповнення дохідної частини міського бюджету, к</w:t>
      </w:r>
      <w:r>
        <w:rPr>
          <w:rFonts w:ascii="Times New Roman" w:hAnsi="Times New Roman"/>
          <w:color w:val="000000"/>
          <w:spacing w:val="3"/>
          <w:sz w:val="28"/>
          <w:szCs w:val="28"/>
          <w:lang w:val="uk-UA"/>
        </w:rPr>
        <w:t>еруючись підпунктом 24 пункту 1 статті 26 Закону України «Про місцеве самоврядування в Україні», міська рада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pPr>
      <w:r>
        <w:rPr>
          <w:rFonts w:ascii="Times New Roman" w:hAnsi="Times New Roman"/>
          <w:b/>
          <w:sz w:val="28"/>
          <w:szCs w:val="28"/>
        </w:rPr>
        <w:t>ВИРІШИЛА:</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StyleZakonu1"/>
        <w:widowControl w:val="false"/>
        <w:numPr>
          <w:ilvl w:val="0"/>
          <w:numId w:val="1"/>
        </w:numPr>
        <w:tabs>
          <w:tab w:val="clear" w:pos="708"/>
          <w:tab w:val="left" w:pos="0" w:leader="none"/>
        </w:tabs>
        <w:suppressAutoHyphens w:val="true"/>
        <w:bidi w:val="0"/>
        <w:spacing w:lineRule="auto" w:line="240" w:before="0" w:after="0"/>
        <w:ind w:left="0" w:right="0" w:firstLine="397"/>
        <w:jc w:val="both"/>
        <w:rPr/>
      </w:pPr>
      <w:r>
        <w:rPr>
          <w:sz w:val="28"/>
          <w:szCs w:val="28"/>
        </w:rPr>
        <w:t xml:space="preserve">Внести зміни </w:t>
      </w:r>
      <w:r>
        <w:rPr>
          <w:color w:val="000000"/>
          <w:spacing w:val="3"/>
          <w:sz w:val="28"/>
          <w:szCs w:val="28"/>
          <w:lang w:val="uk-UA"/>
        </w:rPr>
        <w:t>у ставки податку на нерухоме майно, відмінне від земельної ділянки для об'єктів нерухомості</w:t>
      </w:r>
      <w:r>
        <w:rPr>
          <w:color w:val="000000"/>
          <w:spacing w:val="3"/>
          <w:position w:val="0"/>
          <w:sz w:val="28"/>
          <w:sz w:val="28"/>
          <w:szCs w:val="28"/>
          <w:vertAlign w:val="baseline"/>
          <w:lang w:val="uk-UA"/>
        </w:rPr>
        <w:t>, затверджені рішенням 43 сесії міської ради 7 скликання від 29.03.2019 № 12, виклавши додаток 1 у новій редакції, що додається.</w:t>
      </w:r>
    </w:p>
    <w:p>
      <w:pPr>
        <w:pStyle w:val="StyleZakonu1"/>
        <w:widowControl w:val="false"/>
        <w:numPr>
          <w:ilvl w:val="0"/>
          <w:numId w:val="1"/>
        </w:numPr>
        <w:tabs>
          <w:tab w:val="clear" w:pos="708"/>
          <w:tab w:val="left" w:pos="0" w:leader="none"/>
        </w:tabs>
        <w:suppressAutoHyphens w:val="true"/>
        <w:bidi w:val="0"/>
        <w:spacing w:lineRule="auto" w:line="240" w:before="0" w:after="0"/>
        <w:ind w:left="0" w:right="0" w:firstLine="454"/>
        <w:jc w:val="both"/>
        <w:rPr/>
      </w:pPr>
      <w:r>
        <w:rPr>
          <w:rFonts w:cs="Times New Roman"/>
          <w:b w:val="false"/>
          <w:color w:val="000000"/>
          <w:spacing w:val="-3"/>
          <w:position w:val="0"/>
          <w:sz w:val="28"/>
          <w:sz w:val="28"/>
          <w:szCs w:val="28"/>
          <w:vertAlign w:val="baseline"/>
          <w:lang w:val="uk-UA"/>
        </w:rPr>
        <w:t>Контроль за виконанням цього рішення покласти на заступника міського голови Чистякова О.Г. та на  постійну депутатську комісію з питань планування, бюджету, фінансів, економічного розвитку, регуляторної політики та підприємництва (Травка В.І.).</w:t>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pPr>
      <w:r>
        <w:rPr>
          <w:rFonts w:ascii="Times New Roman" w:hAnsi="Times New Roman"/>
          <w:sz w:val="28"/>
          <w:szCs w:val="28"/>
        </w:rPr>
        <w:t xml:space="preserve">Міський голова                                                   </w:t>
        <w:tab/>
        <w:tab/>
        <w:t xml:space="preserve">   </w:t>
        <w:tab/>
        <w:tab/>
        <w:t>О.М. Шаповал</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sectPr>
          <w:type w:val="nextPage"/>
          <w:pgSz w:w="11906" w:h="16838"/>
          <w:pgMar w:left="1418" w:right="707" w:header="0" w:top="540" w:footer="0" w:bottom="851" w:gutter="0"/>
          <w:pgNumType w:fmt="upperLetter"/>
          <w:formProt w:val="false"/>
          <w:textDirection w:val="lrTb"/>
          <w:docGrid w:type="default" w:linePitch="360" w:charSpace="0"/>
        </w:sectPr>
        <w:pStyle w:val="Normal"/>
        <w:spacing w:lineRule="auto" w:line="240" w:before="0" w:after="0"/>
        <w:jc w:val="both"/>
        <w:rPr>
          <w:sz w:val="22"/>
          <w:szCs w:val="22"/>
        </w:rPr>
      </w:pPr>
      <w:bookmarkStart w:id="1" w:name="__DdeLink__7616_2786978892"/>
      <w:r>
        <w:rPr>
          <w:rFonts w:ascii="Times New Roman" w:hAnsi="Times New Roman"/>
          <w:sz w:val="22"/>
          <w:szCs w:val="22"/>
        </w:rPr>
        <w:t>Глазкова, 4266</w:t>
      </w:r>
      <w:bookmarkEnd w:id="1"/>
      <w:r>
        <w:rPr>
          <w:rFonts w:ascii="Times New Roman" w:hAnsi="Times New Roman"/>
          <w:sz w:val="22"/>
          <w:szCs w:val="22"/>
        </w:rPr>
        <w:t>0</w:t>
      </w:r>
    </w:p>
    <w:p>
      <w:pPr>
        <w:pStyle w:val="Normal"/>
        <w:spacing w:lineRule="auto" w:line="240" w:before="0" w:after="0"/>
        <w:ind w:hanging="0"/>
        <w:rPr/>
      </w:pPr>
      <w:r>
        <w:rPr>
          <w:rFonts w:ascii="Times New Roman" w:hAnsi="Times New Roman"/>
          <w:sz w:val="24"/>
          <w:szCs w:val="24"/>
          <w:lang w:val="uk-UA"/>
        </w:rPr>
        <w:tab/>
        <w:tab/>
        <w:tab/>
        <w:tab/>
        <w:tab/>
        <w:tab/>
        <w:tab/>
        <w:tab/>
        <w:tab/>
        <w:tab/>
        <w:tab/>
        <w:tab/>
        <w:tab/>
        <w:tab/>
        <w:tab/>
        <w:tab/>
        <w:tab/>
        <w:tab/>
        <w:t xml:space="preserve">Додаток </w:t>
      </w:r>
    </w:p>
    <w:p>
      <w:pPr>
        <w:pStyle w:val="Normal"/>
        <w:widowControl/>
        <w:suppressAutoHyphens w:val="true"/>
        <w:bidi w:val="0"/>
        <w:spacing w:lineRule="auto" w:line="240" w:before="0" w:after="0"/>
        <w:ind w:right="0" w:hanging="0"/>
        <w:jc w:val="left"/>
        <w:rPr/>
      </w:pPr>
      <w:r>
        <w:rPr>
          <w:rFonts w:ascii="Times New Roman" w:hAnsi="Times New Roman"/>
          <w:sz w:val="24"/>
          <w:szCs w:val="24"/>
          <w:lang w:val="uk-UA"/>
        </w:rPr>
        <w:tab/>
        <w:tab/>
        <w:tab/>
        <w:tab/>
        <w:tab/>
        <w:tab/>
        <w:tab/>
        <w:tab/>
        <w:tab/>
        <w:tab/>
        <w:tab/>
        <w:tab/>
        <w:tab/>
        <w:tab/>
        <w:tab/>
        <w:tab/>
        <w:t>до рішення 45 сесії 7 скликання</w:t>
      </w:r>
    </w:p>
    <w:p>
      <w:pPr>
        <w:pStyle w:val="Normal"/>
        <w:widowControl/>
        <w:suppressAutoHyphens w:val="true"/>
        <w:bidi w:val="0"/>
        <w:spacing w:lineRule="auto" w:line="216" w:before="0" w:after="113"/>
        <w:ind w:right="0" w:hanging="0"/>
        <w:jc w:val="left"/>
        <w:rPr/>
      </w:pPr>
      <w:r>
        <w:rPr>
          <w:rFonts w:ascii="Times New Roman" w:hAnsi="Times New Roman"/>
          <w:sz w:val="26"/>
          <w:szCs w:val="26"/>
          <w:lang w:val="uk-UA"/>
        </w:rPr>
        <w:tab/>
        <w:tab/>
      </w:r>
      <w:r>
        <w:rPr>
          <w:rFonts w:ascii="Times New Roman" w:hAnsi="Times New Roman"/>
          <w:sz w:val="24"/>
          <w:szCs w:val="24"/>
          <w:lang w:val="uk-UA"/>
        </w:rPr>
        <w:tab/>
        <w:tab/>
        <w:tab/>
        <w:tab/>
        <w:tab/>
        <w:tab/>
        <w:tab/>
        <w:tab/>
        <w:tab/>
        <w:tab/>
        <w:tab/>
        <w:tab/>
        <w:tab/>
        <w:tab/>
        <w:t>31.05.2019   №  4</w:t>
      </w:r>
    </w:p>
    <w:p>
      <w:pPr>
        <w:pStyle w:val="Style25"/>
        <w:spacing w:lineRule="auto" w:line="216" w:before="0" w:after="113"/>
        <w:rPr/>
      </w:pPr>
      <w:r>
        <w:rPr>
          <w:rFonts w:cs="Times New Roman" w:ascii="Times New Roman" w:hAnsi="Times New Roman"/>
          <w:sz w:val="24"/>
          <w:szCs w:val="24"/>
          <w:lang w:val="uk-UA" w:eastAsia="ru-RU"/>
        </w:rPr>
        <w:t>СТАВКИ</w:t>
      </w:r>
      <w:r>
        <w:rPr>
          <w:rFonts w:cs="Times New Roman" w:ascii="Times New Roman" w:hAnsi="Times New Roman"/>
          <w:sz w:val="24"/>
          <w:szCs w:val="24"/>
          <w:vertAlign w:val="superscript"/>
          <w:lang w:val="uk-UA" w:eastAsia="ru-RU"/>
        </w:rPr>
        <w:br/>
      </w:r>
      <w:r>
        <w:rPr>
          <w:rFonts w:cs="Times New Roman" w:ascii="Times New Roman" w:hAnsi="Times New Roman"/>
          <w:sz w:val="24"/>
          <w:szCs w:val="24"/>
          <w:lang w:val="uk-UA" w:eastAsia="ru-RU"/>
        </w:rPr>
        <w:t>податку на нерухоме майно, відмінне від земельної ділянки</w:t>
      </w:r>
      <w:r>
        <w:rPr>
          <w:rFonts w:cs="Times New Roman" w:ascii="Times New Roman" w:hAnsi="Times New Roman"/>
          <w:sz w:val="24"/>
          <w:szCs w:val="24"/>
          <w:lang w:val="uk-UA"/>
        </w:rPr>
        <w:t xml:space="preserve"> для об’єктів нерухомості </w:t>
      </w:r>
      <w:r>
        <w:rPr>
          <w:rFonts w:cs="Times New Roman" w:ascii="Times New Roman" w:hAnsi="Times New Roman"/>
          <w:sz w:val="24"/>
          <w:szCs w:val="24"/>
          <w:vertAlign w:val="superscript"/>
          <w:lang w:val="uk-UA" w:eastAsia="ru-RU"/>
        </w:rPr>
        <w:t>1</w:t>
      </w:r>
    </w:p>
    <w:p>
      <w:pPr>
        <w:pStyle w:val="Style24"/>
        <w:spacing w:lineRule="auto" w:line="216" w:before="0" w:after="113"/>
        <w:jc w:val="both"/>
        <w:rPr/>
      </w:pPr>
      <w:r>
        <w:rPr>
          <w:rFonts w:cs="Times New Roman" w:ascii="Times New Roman" w:hAnsi="Times New Roman"/>
          <w:sz w:val="24"/>
          <w:szCs w:val="24"/>
          <w:lang w:val="uk-UA" w:eastAsia="ru-RU"/>
        </w:rPr>
        <w:t>Ставки вводяться в дію з 01 січня 2020 року.</w:t>
      </w:r>
    </w:p>
    <w:p>
      <w:pPr>
        <w:pStyle w:val="Style24"/>
        <w:spacing w:lineRule="auto" w:line="216" w:before="0" w:after="113"/>
        <w:jc w:val="both"/>
        <w:rPr/>
      </w:pPr>
      <w:r>
        <w:rPr>
          <w:rFonts w:cs="Times New Roman" w:ascii="Times New Roman" w:hAnsi="Times New Roman"/>
          <w:sz w:val="24"/>
          <w:szCs w:val="24"/>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5046" w:type="dxa"/>
        <w:jc w:val="left"/>
        <w:tblInd w:w="210" w:type="dxa"/>
        <w:tblCellMar>
          <w:top w:w="0" w:type="dxa"/>
          <w:left w:w="73" w:type="dxa"/>
          <w:bottom w:w="0" w:type="dxa"/>
          <w:right w:w="108" w:type="dxa"/>
        </w:tblCellMar>
        <w:tblLook w:noVBand="0" w:val="0000" w:noHBand="0" w:lastColumn="0" w:firstColumn="0" w:lastRow="0" w:firstRow="0"/>
      </w:tblPr>
      <w:tblGrid>
        <w:gridCol w:w="1797"/>
        <w:gridCol w:w="1800"/>
        <w:gridCol w:w="2338"/>
        <w:gridCol w:w="9110"/>
      </w:tblGrid>
      <w:tr>
        <w:trPr/>
        <w:tc>
          <w:tcPr>
            <w:tcW w:w="1797"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Код області</w:t>
            </w:r>
          </w:p>
        </w:tc>
        <w:tc>
          <w:tcPr>
            <w:tcW w:w="1800"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Код району</w:t>
            </w:r>
          </w:p>
        </w:tc>
        <w:tc>
          <w:tcPr>
            <w:tcW w:w="2338"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Код згідно з КОАТУУ</w:t>
            </w:r>
          </w:p>
        </w:tc>
        <w:tc>
          <w:tcPr>
            <w:tcW w:w="911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trPr/>
        <w:tc>
          <w:tcPr>
            <w:tcW w:w="1797"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09</w:t>
            </w:r>
          </w:p>
        </w:tc>
        <w:tc>
          <w:tcPr>
            <w:tcW w:w="2338"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1212100000</w:t>
            </w:r>
          </w:p>
        </w:tc>
        <w:tc>
          <w:tcPr>
            <w:tcW w:w="911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м. Покров Дніпропетровської обл.</w:t>
            </w:r>
          </w:p>
        </w:tc>
      </w:tr>
      <w:tr>
        <w:trPr/>
        <w:tc>
          <w:tcPr>
            <w:tcW w:w="1797"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22</w:t>
            </w:r>
          </w:p>
        </w:tc>
        <w:tc>
          <w:tcPr>
            <w:tcW w:w="2338"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1222987001</w:t>
            </w:r>
          </w:p>
        </w:tc>
        <w:tc>
          <w:tcPr>
            <w:tcW w:w="911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с.Шолохове Дніпропетровської обл.</w:t>
            </w:r>
          </w:p>
        </w:tc>
      </w:tr>
      <w:tr>
        <w:trPr/>
        <w:tc>
          <w:tcPr>
            <w:tcW w:w="1797"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22</w:t>
            </w:r>
          </w:p>
        </w:tc>
        <w:tc>
          <w:tcPr>
            <w:tcW w:w="2338"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1222987002</w:t>
            </w:r>
          </w:p>
        </w:tc>
        <w:tc>
          <w:tcPr>
            <w:tcW w:w="911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с.Миронівка Дніпроетровської обл.</w:t>
            </w:r>
          </w:p>
        </w:tc>
      </w:tr>
      <w:tr>
        <w:trPr/>
        <w:tc>
          <w:tcPr>
            <w:tcW w:w="1797"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22</w:t>
            </w:r>
          </w:p>
        </w:tc>
        <w:tc>
          <w:tcPr>
            <w:tcW w:w="2338"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1222987003</w:t>
            </w:r>
          </w:p>
        </w:tc>
        <w:tc>
          <w:tcPr>
            <w:tcW w:w="911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firstLine="34"/>
              <w:jc w:val="center"/>
              <w:rPr/>
            </w:pPr>
            <w:r>
              <w:rPr>
                <w:rFonts w:cs="Times New Roman" w:ascii="Times New Roman" w:hAnsi="Times New Roman"/>
                <w:sz w:val="24"/>
                <w:szCs w:val="24"/>
                <w:lang w:val="uk-UA" w:eastAsia="ru-RU"/>
              </w:rPr>
              <w:t>с.Улянівка Дніпропетровської обл</w:t>
            </w:r>
          </w:p>
        </w:tc>
      </w:tr>
    </w:tbl>
    <w:p>
      <w:pPr>
        <w:pStyle w:val="Normal"/>
        <w:widowControl w:val="false"/>
        <w:spacing w:lineRule="auto" w:line="216" w:before="0" w:after="113"/>
        <w:rPr>
          <w:rFonts w:ascii="Times New Roman" w:hAnsi="Times New Roman"/>
          <w:sz w:val="12"/>
          <w:szCs w:val="12"/>
          <w:lang w:val="uk-UA" w:eastAsia="ru-RU"/>
        </w:rPr>
      </w:pPr>
      <w:r>
        <w:rPr>
          <w:rFonts w:ascii="Times New Roman" w:hAnsi="Times New Roman"/>
          <w:sz w:val="12"/>
          <w:szCs w:val="12"/>
          <w:lang w:val="uk-UA" w:eastAsia="ru-RU"/>
        </w:rPr>
      </w:r>
    </w:p>
    <w:tbl>
      <w:tblPr>
        <w:tblW w:w="15046" w:type="dxa"/>
        <w:jc w:val="left"/>
        <w:tblInd w:w="125" w:type="dxa"/>
        <w:tblCellMar>
          <w:top w:w="0" w:type="dxa"/>
          <w:left w:w="0" w:type="dxa"/>
          <w:bottom w:w="0" w:type="dxa"/>
          <w:right w:w="23" w:type="dxa"/>
        </w:tblCellMar>
        <w:tblLook w:noVBand="0" w:val="0000" w:noHBand="0" w:lastColumn="0" w:firstColumn="0" w:lastRow="0" w:firstRow="0"/>
      </w:tblPr>
      <w:tblGrid>
        <w:gridCol w:w="1090"/>
        <w:gridCol w:w="7552"/>
        <w:gridCol w:w="4"/>
        <w:gridCol w:w="11"/>
        <w:gridCol w:w="1055"/>
        <w:gridCol w:w="84"/>
        <w:gridCol w:w="985"/>
        <w:gridCol w:w="13"/>
        <w:gridCol w:w="72"/>
        <w:gridCol w:w="955"/>
        <w:gridCol w:w="69"/>
        <w:gridCol w:w="2"/>
        <w:gridCol w:w="7"/>
        <w:gridCol w:w="1109"/>
        <w:gridCol w:w="91"/>
        <w:gridCol w:w="908"/>
        <w:gridCol w:w="12"/>
        <w:gridCol w:w="1025"/>
      </w:tblGrid>
      <w:tr>
        <w:trPr>
          <w:tblHeader w:val="true"/>
          <w:trHeight w:val="23" w:hRule="atLeast"/>
        </w:trPr>
        <w:tc>
          <w:tcPr>
            <w:tcW w:w="8646"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Класифікація будівель та споруд</w:t>
            </w:r>
            <w:r>
              <w:rPr>
                <w:rFonts w:cs="Times New Roman" w:ascii="Times New Roman" w:hAnsi="Times New Roman"/>
                <w:sz w:val="24"/>
                <w:szCs w:val="24"/>
                <w:vertAlign w:val="superscript"/>
                <w:lang w:val="uk-UA" w:eastAsia="ru-RU"/>
              </w:rPr>
              <w:t>2</w:t>
            </w:r>
          </w:p>
        </w:tc>
        <w:tc>
          <w:tcPr>
            <w:tcW w:w="6398" w:type="dxa"/>
            <w:gridSpan w:val="15"/>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Ставки податку</w:t>
            </w:r>
            <w:r>
              <w:rPr>
                <w:rFonts w:cs="Times New Roman" w:ascii="Times New Roman" w:hAnsi="Times New Roman"/>
                <w:sz w:val="24"/>
                <w:szCs w:val="24"/>
                <w:vertAlign w:val="superscript"/>
                <w:lang w:val="uk-UA" w:eastAsia="ru-RU"/>
              </w:rPr>
              <w:t>3</w:t>
            </w:r>
            <w:r>
              <w:rPr>
                <w:rFonts w:cs="Times New Roman" w:ascii="Times New Roman" w:hAnsi="Times New Roman"/>
                <w:sz w:val="24"/>
                <w:szCs w:val="24"/>
                <w:lang w:val="uk-UA" w:eastAsia="ru-RU"/>
              </w:rPr>
              <w:t xml:space="preserve"> за 1 кв. метр</w:t>
              <w:br/>
              <w:t>(відсотків розміру мінімальної заробітної плати)</w:t>
            </w:r>
          </w:p>
        </w:tc>
      </w:tr>
      <w:tr>
        <w:trPr>
          <w:tblHeader w:val="true"/>
          <w:trHeight w:val="23" w:hRule="atLeast"/>
        </w:trPr>
        <w:tc>
          <w:tcPr>
            <w:tcW w:w="1090" w:type="dxa"/>
            <w:vMerge w:val="restart"/>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код</w:t>
            </w:r>
            <w:r>
              <w:rPr>
                <w:rFonts w:cs="Times New Roman" w:ascii="Times New Roman" w:hAnsi="Times New Roman"/>
                <w:sz w:val="24"/>
                <w:szCs w:val="24"/>
                <w:vertAlign w:val="superscript"/>
                <w:lang w:val="uk-UA" w:eastAsia="ru-RU"/>
              </w:rPr>
              <w:t>2</w:t>
            </w:r>
          </w:p>
        </w:tc>
        <w:tc>
          <w:tcPr>
            <w:tcW w:w="7552" w:type="dxa"/>
            <w:vMerge w:val="restart"/>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найменування</w:t>
            </w:r>
            <w:r>
              <w:rPr>
                <w:rFonts w:cs="Times New Roman" w:ascii="Times New Roman" w:hAnsi="Times New Roman"/>
                <w:sz w:val="24"/>
                <w:szCs w:val="24"/>
                <w:vertAlign w:val="superscript"/>
                <w:lang w:val="uk-UA" w:eastAsia="ru-RU"/>
              </w:rPr>
              <w:t>2</w:t>
            </w:r>
          </w:p>
        </w:tc>
        <w:tc>
          <w:tcPr>
            <w:tcW w:w="3250" w:type="dxa"/>
            <w:gridSpan w:val="10"/>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для юридичних осіб</w:t>
            </w:r>
          </w:p>
        </w:tc>
        <w:tc>
          <w:tcPr>
            <w:tcW w:w="3152" w:type="dxa"/>
            <w:gridSpan w:val="6"/>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для фізичних осіб</w:t>
            </w:r>
          </w:p>
        </w:tc>
      </w:tr>
      <w:tr>
        <w:trPr>
          <w:tblHeader w:val="true"/>
          <w:trHeight w:val="23" w:hRule="atLeast"/>
        </w:trPr>
        <w:tc>
          <w:tcPr>
            <w:tcW w:w="1090" w:type="dxa"/>
            <w:vMerge w:val="continue"/>
            <w:tcBorders>
              <w:top w:val="single" w:sz="4" w:space="0" w:color="000001"/>
              <w:left w:val="single" w:sz="4" w:space="0" w:color="000001"/>
              <w:bottom w:val="single" w:sz="4" w:space="0" w:color="000001"/>
            </w:tcBorders>
            <w:shd w:fill="auto" w:val="clear"/>
            <w:vAlign w:val="center"/>
          </w:tcPr>
          <w:p>
            <w:pPr>
              <w:pStyle w:val="Style24"/>
              <w:snapToGrid w:val="false"/>
              <w:spacing w:lineRule="auto" w:line="216" w:before="0" w:after="113"/>
              <w:ind w:hanging="0"/>
              <w:rPr>
                <w:rFonts w:ascii="Times New Roman" w:hAnsi="Times New Roman" w:cs="Times New Roman"/>
                <w:sz w:val="24"/>
                <w:szCs w:val="24"/>
                <w:lang w:val="uk-UA" w:eastAsia="ru-RU"/>
              </w:rPr>
            </w:pPr>
            <w:r>
              <w:rPr>
                <w:rFonts w:cs="Times New Roman" w:ascii="Times New Roman" w:hAnsi="Times New Roman"/>
                <w:sz w:val="24"/>
                <w:szCs w:val="24"/>
                <w:lang w:val="uk-UA" w:eastAsia="ru-RU"/>
              </w:rPr>
            </w:r>
          </w:p>
        </w:tc>
        <w:tc>
          <w:tcPr>
            <w:tcW w:w="7552" w:type="dxa"/>
            <w:vMerge w:val="continue"/>
            <w:tcBorders>
              <w:top w:val="single" w:sz="4" w:space="0" w:color="000001"/>
              <w:left w:val="single" w:sz="4" w:space="0" w:color="000001"/>
              <w:bottom w:val="single" w:sz="4" w:space="0" w:color="000001"/>
            </w:tcBorders>
            <w:shd w:fill="auto" w:val="clear"/>
            <w:vAlign w:val="center"/>
          </w:tcPr>
          <w:p>
            <w:pPr>
              <w:pStyle w:val="Style24"/>
              <w:snapToGrid w:val="false"/>
              <w:spacing w:lineRule="auto" w:line="216" w:before="0" w:after="113"/>
              <w:ind w:hanging="0"/>
              <w:rPr>
                <w:rFonts w:ascii="Times New Roman" w:hAnsi="Times New Roman" w:cs="Times New Roman"/>
                <w:sz w:val="24"/>
                <w:szCs w:val="24"/>
                <w:lang w:val="uk-UA" w:eastAsia="ru-RU"/>
              </w:rPr>
            </w:pPr>
            <w:r>
              <w:rPr>
                <w:rFonts w:cs="Times New Roman" w:ascii="Times New Roman" w:hAnsi="Times New Roman"/>
                <w:sz w:val="24"/>
                <w:szCs w:val="24"/>
                <w:lang w:val="uk-UA" w:eastAsia="ru-RU"/>
              </w:rPr>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 зона</w:t>
            </w:r>
            <w:r>
              <w:rPr>
                <w:rFonts w:cs="Times New Roman" w:ascii="Times New Roman" w:hAnsi="Times New Roman"/>
                <w:sz w:val="24"/>
                <w:szCs w:val="24"/>
                <w:vertAlign w:val="superscript"/>
                <w:lang w:val="uk-UA" w:eastAsia="ru-RU"/>
              </w:rPr>
              <w:t>4</w:t>
            </w:r>
          </w:p>
        </w:tc>
        <w:tc>
          <w:tcPr>
            <w:tcW w:w="106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2 зона</w:t>
            </w:r>
            <w:r>
              <w:rPr>
                <w:rFonts w:cs="Times New Roman" w:ascii="Times New Roman" w:hAnsi="Times New Roman"/>
                <w:sz w:val="24"/>
                <w:szCs w:val="24"/>
                <w:vertAlign w:val="superscript"/>
                <w:lang w:val="uk-UA" w:eastAsia="ru-RU"/>
              </w:rPr>
              <w:t>4</w:t>
            </w:r>
          </w:p>
        </w:tc>
        <w:tc>
          <w:tcPr>
            <w:tcW w:w="1109" w:type="dxa"/>
            <w:gridSpan w:val="4"/>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3 зона</w:t>
            </w:r>
            <w:r>
              <w:rPr>
                <w:rFonts w:cs="Times New Roman" w:ascii="Times New Roman" w:hAnsi="Times New Roman"/>
                <w:sz w:val="24"/>
                <w:szCs w:val="24"/>
                <w:vertAlign w:val="superscript"/>
                <w:lang w:val="uk-UA" w:eastAsia="ru-RU"/>
              </w:rPr>
              <w:t>4</w:t>
            </w:r>
          </w:p>
        </w:tc>
        <w:tc>
          <w:tcPr>
            <w:tcW w:w="1118"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 зона</w:t>
            </w:r>
            <w:r>
              <w:rPr>
                <w:rFonts w:cs="Times New Roman" w:ascii="Times New Roman" w:hAnsi="Times New Roman"/>
                <w:sz w:val="24"/>
                <w:szCs w:val="24"/>
                <w:vertAlign w:val="superscript"/>
                <w:lang w:val="uk-UA" w:eastAsia="ru-RU"/>
              </w:rPr>
              <w:t>4</w:t>
            </w:r>
          </w:p>
        </w:tc>
        <w:tc>
          <w:tcPr>
            <w:tcW w:w="99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2 зона</w:t>
            </w:r>
            <w:r>
              <w:rPr>
                <w:rFonts w:cs="Times New Roman" w:ascii="Times New Roman" w:hAnsi="Times New Roman"/>
                <w:sz w:val="24"/>
                <w:szCs w:val="24"/>
                <w:vertAlign w:val="superscript"/>
                <w:lang w:val="uk-UA" w:eastAsia="ru-RU"/>
              </w:rPr>
              <w:t>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3 зона</w:t>
            </w:r>
            <w:r>
              <w:rPr>
                <w:rFonts w:cs="Times New Roman" w:ascii="Times New Roman" w:hAnsi="Times New Roman"/>
                <w:sz w:val="24"/>
                <w:szCs w:val="24"/>
                <w:vertAlign w:val="superscript"/>
                <w:lang w:val="uk-UA" w:eastAsia="ru-RU"/>
              </w:rPr>
              <w:t>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11</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45"/>
              <w:jc w:val="center"/>
              <w:rPr/>
            </w:pPr>
            <w:r>
              <w:rPr>
                <w:rFonts w:cs="Times New Roman" w:ascii="Times New Roman" w:hAnsi="Times New Roman"/>
                <w:sz w:val="24"/>
                <w:szCs w:val="24"/>
                <w:lang w:val="uk-UA" w:eastAsia="ru-RU"/>
              </w:rPr>
              <w:t>Будівлі житлові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111</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45"/>
              <w:jc w:val="center"/>
              <w:rPr/>
            </w:pPr>
            <w:r>
              <w:rPr>
                <w:rFonts w:cs="Times New Roman" w:ascii="Times New Roman" w:hAnsi="Times New Roman"/>
                <w:sz w:val="24"/>
                <w:szCs w:val="24"/>
                <w:lang w:val="uk-UA" w:eastAsia="ru-RU"/>
              </w:rPr>
              <w:t>Будинки одноквартирні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1110</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45"/>
              <w:jc w:val="center"/>
              <w:rPr/>
            </w:pPr>
            <w:r>
              <w:rPr>
                <w:rFonts w:cs="Times New Roman" w:ascii="Times New Roman" w:hAnsi="Times New Roman"/>
                <w:sz w:val="24"/>
                <w:szCs w:val="24"/>
                <w:lang w:val="uk-UA" w:eastAsia="ru-RU"/>
              </w:rPr>
              <w:t>Будинки одноквартирні</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1110.1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Будинки одноквартирні масової забудови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955"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278"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1110.2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Котеджі та будинки одноквартирні підвищеної комфортності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955"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278"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1110.3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Будинки садибного типу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955"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278"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0,96</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0,48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1110.4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Будинки дачні та садові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955"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278"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0,96</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0,48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Будинки з двома та більше квартирами</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1121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Будинки з двома квартирами</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1121.1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Будинки двоквартирні масової забудови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1121.2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Котеджі та будинки двоквартирні підвищеної комфортності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1122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Будинки з трьома та більше квартирами</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1122.1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Будинки багатоквартирні масової забудови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1122.2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Будинки багатоквартирні підвищеної комфортності, індивідуальні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1122.3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Будинки житлові готельного типу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113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Гуртожитки</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1130.1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Гуртожитки для робітників та службовців</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1130.2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Гуртожитки для студентів вищих навчальних закладів</w:t>
            </w:r>
            <w:r>
              <w:rPr>
                <w:rFonts w:cs="Times New Roman" w:ascii="Times New Roman" w:hAnsi="Times New Roman"/>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1130.3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Гуртожитки для учнів навчальних закладів</w:t>
            </w:r>
            <w:r>
              <w:rPr>
                <w:rFonts w:cs="Times New Roman" w:ascii="Times New Roman" w:hAnsi="Times New Roman"/>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1130.4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Будинки-інтернати для людей похилого віку та інвалідів</w:t>
            </w:r>
            <w:r>
              <w:rPr>
                <w:rFonts w:cs="Times New Roman" w:ascii="Times New Roman" w:hAnsi="Times New Roman"/>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1130.5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Будинки дитини та сирітські будинки</w:t>
            </w:r>
            <w:r>
              <w:rPr>
                <w:rFonts w:cs="Times New Roman" w:ascii="Times New Roman" w:hAnsi="Times New Roman"/>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1130.6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Будинки для біженців, притулки для бездомних</w:t>
            </w:r>
            <w:r>
              <w:rPr>
                <w:rFonts w:cs="Times New Roman" w:ascii="Times New Roman" w:hAnsi="Times New Roman"/>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1130.9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Будинки для колективного проживання інші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нежитлові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Готелі, ресторани та подібні будівлі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1211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готельні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1211.1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Готелі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1211.2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Мотелі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1211.3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Кемпінги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1211.4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Пансіонати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1211.5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Ресторани та бари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1212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Інші будівлі для тимчасового проживання</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1212.1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Туристичні бази та гірські притулки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1212.2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Дитячі та сімейні табори відпочинку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1212.3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Центри та будинки відпочинку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1212.9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Інші будівлі для тимчасового проживання, не класифіковані раніше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122</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офісні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1220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офісні</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1220.1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органів державного та місцевого управління</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1220.2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фінансового обслуговування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1220.3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органів правосуддя</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1220.4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закордонних представництв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1220.5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Адміністративно-побутові будівлі промислових підприємств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1220.9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для конторських та адміністративних цілей інші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123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торговельні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1230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торговельні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1230.1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Торгові центри, універмаги, магазини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1230.2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Криті ринки, павільйони та зали для ярмарків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1230.3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Станції технічного обслуговування автомобілів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1230.4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Їдальні, кафе, закусочні тощо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1230.5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Бази та склади підприємств торгівлі і громадського харчування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1230.6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підприємств побутового обслуговування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1230.9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торговельні інші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124</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транспорту та засобів зв’язку</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Вокзали, аеровокзали, будівлі засобів зв’язку та пов’язані з ними будівлі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1241.1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Автовокзали та інші будівлі автомобільного транспорту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1241.2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Вокзали та інші будівлі залізничного транспорту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1241.3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міського електротранспорту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1241.4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Аеровокзали та інші будівлі повітряного транспорту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1241.5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Морські та річкові вокзали, маяки та пов’язані з ними будівлі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1241.6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станцій підвісних та канатних доріг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1241.7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центрів радіо- та телевізійного мовлення, телефонних станцій, телекомунікаційних центрів тощо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1241.8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Ангари для літаків, локомотивні, вагонні, трамвайні та тролейбусні депо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1241.9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транспорту та засобів зв’язку інші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Гаражі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1242.1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Гаражі наземні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0,832</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0,416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1242.2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Гаражі підземні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0,832</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0,416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1242.3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Стоянки автомобільні криті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0,832</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0,416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1242.4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Навіси для велосипедів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0,832</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0,416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промислові та склади</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промислові</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1251.1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підприємств машинобудування та металообробної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1251.2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підприємств чорної металургії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1251.3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підприємств хімічної та нафтохімічної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1251.4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підприємств легкої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1251.5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підприємств харчової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1251.6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підприємств медичної та мікробіологічної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1251.7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підприємств лісової, деревообробної та целюлозно-паперової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1251.8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підприємств будівельної індустрії, будівельних матеріалів та виробів, скляної та фарфоро-фаянсової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1251.9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інших промислових виробництв, включаючи поліграфічне</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Резервуари, силоси та склади</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1252.1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Резервуари для нафти, нафтопродуктів та газу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1252.2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Резервуари та ємності інші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1252.3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Силоси для зерна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1252.4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Силоси для цементу та інших сипучих матеріалів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1252.5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Склади спеціальні товарні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1252.6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Холодильники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1252.7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Складські майданчики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1252.8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Склади універсальні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1252.9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Склади та сховища інші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r>
              <w:rPr>
                <w:rFonts w:cs="Times New Roman" w:ascii="Times New Roman" w:hAnsi="Times New Roman"/>
                <w:sz w:val="24"/>
                <w:szCs w:val="26"/>
                <w:lang w:val="uk-UA" w:eastAsia="ru-RU"/>
              </w:rPr>
              <w:t>,6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для публічних виступів, закладів освітнього, медичного та оздоровчого призначення</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для публічних виступів</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1261.1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Театри, кінотеатри та концертні зали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1261.2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Зали засідань та багатоцільові зали для публічних виступів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1261.3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Цирки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1261.4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Казино, ігорні будинки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1261.5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Музичні та танцювальні зали, дискотеки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1261.9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для публічних виступів інші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Музеї та бібліотеки</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1262.1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Музеї та художні галереї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1262.2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Бібліотеки, книгосховища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1262.3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Технічні центри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1262.4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Планетарії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1262.5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архівів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1262.6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зоологічних та ботанічних садів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1263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навчальних та дослідних закладів</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1263.1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науково-дослідних та проектно-вишукувальних установ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1263.2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вищих навчальних закладів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1263.3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шкіл та інших середніх навчальних закладів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1263.4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професійно-технічних навчальних закладів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1263.5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дошкільних та позашкільних навчальних закладів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1263.6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спеціальних навчальних закладів для дітей з особливими потребами</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1263.7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закладів з фахової перепідготовки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1263.8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метеорологічних станцій, обсерваторій</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1263.9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освітніх та науково-дослідних закладів інші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1264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лікарень та оздоровчих закладів</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1264.1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Лікарні багатопрофільні територіального обслуговування, навчальних закладів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1264.2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Лікарні профільні, диспансери</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1264.3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Материнські та дитячі реабілітаційні центри, пологові будинки</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1264.4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Поліклініки, пункти медичного обслуговування та консультації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1264.5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Шпиталі виправних закладів, в’язниць та Збройних Сил</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1264.6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Санаторії, профілакторії та центри функціональної реабілітації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1264.9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Заклади лікувально-профілактичні та оздоровчі інші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1265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Зали спортивні</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1265.1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Зали гімнастичні, баскетбольні, волейбольні, тенісні тощо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1265.2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Басейни криті для плавання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1265.3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Хокейні та льодові стадіони криті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1265.4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Манежі легкоатлетичні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1265.5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Тири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1265.9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Зали спортивні інші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нежитлові інші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сільськогосподарського призначення, лісівництва та рибного господарства</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1271.1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для тваринництва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1271.2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для птахівництва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1271.3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для зберігання зерна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1271.4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силосні та сінажні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1271.5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для садівництва, виноградарства та виноробства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1271.6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тепличного господарства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1271.7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рибного господарства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1271.8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підприємств лісівництва та звірівництва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1271.9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сільськогосподарського призначення інші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для культової та релігійної діяльності</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1272.1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Церкви, собори, костьоли, мечеті, синагоги тощо</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1272.2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Похоронні бюро та ритуальні зали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1272.3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Цвинтарі та крематорії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1273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Пам’ятки історичні та такі, що охороняються державою</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1273.1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Пам’ятки історії та архітектури</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1273.2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Археологічні розкопки, руїни та історичні місця, що охороняються державою</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1273.3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Меморіали, художньо-декоративні будівлі, статуї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1274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pPr>
            <w:r>
              <w:rPr>
                <w:rFonts w:cs="Times New Roman" w:ascii="Times New Roman" w:hAnsi="Times New Roman"/>
                <w:sz w:val="24"/>
                <w:szCs w:val="24"/>
                <w:lang w:val="uk-UA" w:eastAsia="ru-RU"/>
              </w:rPr>
              <w:t>Будівлі інші, не класифіковані раніше</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1274.1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Казарми Збройних Сил</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1274.2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поліцейських та пожежних служб</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1274.3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Будівлі виправних закладів, в’язниць та слідчих ізоляторів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1274.4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лазень та пралень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pPr>
            <w:r>
              <w:rPr>
                <w:rFonts w:cs="Times New Roman" w:ascii="Times New Roman" w:hAnsi="Times New Roman"/>
                <w:sz w:val="24"/>
                <w:szCs w:val="24"/>
                <w:lang w:val="uk-UA" w:eastAsia="ru-RU"/>
              </w:rPr>
              <w:t xml:space="preserve">1274.5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pPr>
            <w:r>
              <w:rPr>
                <w:rFonts w:cs="Times New Roman" w:ascii="Times New Roman" w:hAnsi="Times New Roman"/>
                <w:sz w:val="24"/>
                <w:szCs w:val="24"/>
                <w:lang w:val="uk-UA" w:eastAsia="ru-RU"/>
              </w:rPr>
              <w:t xml:space="preserve">Будівлі з облаштування населених пунктів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0,364</w:t>
            </w:r>
          </w:p>
        </w:tc>
      </w:tr>
    </w:tbl>
    <w:p>
      <w:pPr>
        <w:pStyle w:val="Style24"/>
        <w:spacing w:lineRule="auto" w:line="216" w:before="0" w:after="113"/>
        <w:ind w:hanging="0"/>
        <w:jc w:val="both"/>
        <w:rPr/>
      </w:pPr>
      <w:r>
        <w:rPr>
          <w:rFonts w:cs="Times New Roman" w:ascii="Times New Roman" w:hAnsi="Times New Roman"/>
          <w:szCs w:val="26"/>
          <w:lang w:val="uk-UA" w:eastAsia="ru-RU"/>
        </w:rPr>
        <w:t>__________</w:t>
      </w:r>
    </w:p>
    <w:p>
      <w:pPr>
        <w:pStyle w:val="Style24"/>
        <w:spacing w:before="0" w:after="57"/>
        <w:jc w:val="both"/>
        <w:rPr/>
      </w:pPr>
      <w:r>
        <w:rPr>
          <w:rFonts w:cs="Times New Roman" w:ascii="Times New Roman" w:hAnsi="Times New Roman"/>
          <w:sz w:val="22"/>
          <w:szCs w:val="22"/>
          <w:vertAlign w:val="superscript"/>
          <w:lang w:val="uk-UA" w:eastAsia="ru-RU"/>
        </w:rPr>
        <w:t>1</w:t>
      </w:r>
      <w:r>
        <w:rPr>
          <w:rFonts w:cs="Times New Roman" w:ascii="Times New Roman" w:hAnsi="Times New Roman"/>
          <w:sz w:val="22"/>
          <w:szCs w:val="22"/>
          <w:lang w:val="uk-UA" w:eastAsia="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pPr>
        <w:pStyle w:val="Style24"/>
        <w:spacing w:before="0" w:after="57"/>
        <w:jc w:val="both"/>
        <w:rPr/>
      </w:pPr>
      <w:r>
        <w:rPr>
          <w:rFonts w:cs="Times New Roman" w:ascii="Times New Roman" w:hAnsi="Times New Roman"/>
          <w:sz w:val="22"/>
          <w:szCs w:val="22"/>
          <w:vertAlign w:val="superscript"/>
          <w:lang w:val="uk-UA" w:eastAsia="ru-RU"/>
        </w:rPr>
        <w:t>2</w:t>
      </w:r>
      <w:r>
        <w:rPr>
          <w:rFonts w:cs="Times New Roman" w:ascii="Times New Roman" w:hAnsi="Times New Roman"/>
          <w:sz w:val="22"/>
          <w:szCs w:val="22"/>
          <w:lang w:val="uk-UA" w:eastAsia="ru-RU"/>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pPr>
        <w:pStyle w:val="Style24"/>
        <w:spacing w:before="0" w:after="57"/>
        <w:jc w:val="both"/>
        <w:rPr/>
      </w:pPr>
      <w:r>
        <w:rPr>
          <w:rFonts w:cs="Times New Roman" w:ascii="Times New Roman" w:hAnsi="Times New Roman"/>
          <w:sz w:val="22"/>
          <w:szCs w:val="22"/>
          <w:vertAlign w:val="superscript"/>
          <w:lang w:val="uk-UA" w:eastAsia="ru-RU"/>
        </w:rPr>
        <w:t>3</w:t>
      </w:r>
      <w:r>
        <w:rPr>
          <w:rFonts w:cs="Times New Roman" w:ascii="Times New Roman" w:hAnsi="Times New Roman"/>
          <w:sz w:val="22"/>
          <w:szCs w:val="22"/>
          <w:lang w:val="uk-UA" w:eastAsia="ru-RU"/>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pPr>
        <w:pStyle w:val="Style24"/>
        <w:spacing w:before="0" w:after="57"/>
        <w:jc w:val="both"/>
        <w:rPr/>
      </w:pPr>
      <w:r>
        <w:rPr>
          <w:rFonts w:cs="Times New Roman" w:ascii="Times New Roman" w:hAnsi="Times New Roman"/>
          <w:sz w:val="22"/>
          <w:szCs w:val="22"/>
          <w:vertAlign w:val="superscript"/>
          <w:lang w:val="uk-UA" w:eastAsia="ru-RU"/>
        </w:rPr>
        <w:t>4</w:t>
      </w:r>
      <w:r>
        <w:rPr>
          <w:rFonts w:cs="Times New Roman" w:ascii="Times New Roman" w:hAnsi="Times New Roman"/>
          <w:sz w:val="22"/>
          <w:szCs w:val="22"/>
          <w:lang w:val="uk-UA" w:eastAsia="ru-RU"/>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pPr>
        <w:sectPr>
          <w:type w:val="nextPage"/>
          <w:pgSz w:orient="landscape" w:w="16838" w:h="11906"/>
          <w:pgMar w:left="851" w:right="539" w:header="0" w:top="899" w:footer="0" w:bottom="709" w:gutter="0"/>
          <w:pgNumType w:fmt="decimal"/>
          <w:formProt w:val="false"/>
          <w:textDirection w:val="lrTb"/>
          <w:docGrid w:type="default" w:linePitch="360" w:charSpace="0"/>
        </w:sectPr>
        <w:pStyle w:val="Style24"/>
        <w:spacing w:before="0" w:after="57"/>
        <w:jc w:val="both"/>
        <w:rPr/>
      </w:pPr>
      <w:r>
        <w:rPr>
          <w:rFonts w:cs="Times New Roman" w:ascii="Times New Roman" w:hAnsi="Times New Roman"/>
          <w:sz w:val="22"/>
          <w:szCs w:val="22"/>
          <w:vertAlign w:val="superscript"/>
          <w:lang w:val="uk-UA" w:eastAsia="ru-RU"/>
        </w:rPr>
        <w:t>5</w:t>
      </w:r>
      <w:r>
        <w:rPr>
          <w:rFonts w:cs="Times New Roman" w:ascii="Times New Roman" w:hAnsi="Times New Roman"/>
          <w:sz w:val="22"/>
          <w:szCs w:val="22"/>
          <w:lang w:val="uk-UA" w:eastAsia="ru-RU"/>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rFonts w:cs="Times New Roman" w:ascii="Times New Roman" w:hAnsi="Times New Roman"/>
          <w:sz w:val="22"/>
          <w:szCs w:val="22"/>
          <w:vertAlign w:val="superscript"/>
          <w:lang w:val="uk-UA" w:eastAsia="ru-RU"/>
        </w:rPr>
        <w:t xml:space="preserve"> </w:t>
      </w:r>
    </w:p>
    <w:p>
      <w:pPr>
        <w:pStyle w:val="Normal"/>
        <w:spacing w:lineRule="auto" w:line="240" w:before="0" w:after="0"/>
        <w:jc w:val="center"/>
        <w:rPr/>
      </w:pPr>
      <w:r>
        <w:rPr>
          <w:rFonts w:ascii="Times New Roman" w:hAnsi="Times New Roman"/>
          <w:b/>
          <w:sz w:val="26"/>
          <w:szCs w:val="26"/>
        </w:rPr>
        <w:t>Відповідність вулиць та провулків зонам територіальної громади м. Покров</w:t>
      </w:r>
    </w:p>
    <w:tbl>
      <w:tblPr>
        <w:tblW w:w="9639" w:type="dxa"/>
        <w:jc w:val="left"/>
        <w:tblInd w:w="79" w:type="dxa"/>
        <w:tblCellMar>
          <w:top w:w="0" w:type="dxa"/>
          <w:left w:w="73" w:type="dxa"/>
          <w:bottom w:w="0" w:type="dxa"/>
          <w:right w:w="108" w:type="dxa"/>
        </w:tblCellMar>
        <w:tblLook w:noVBand="0" w:val="0000" w:noHBand="0" w:lastColumn="0" w:firstColumn="0" w:lastRow="0" w:firstRow="0"/>
      </w:tblPr>
      <w:tblGrid>
        <w:gridCol w:w="839"/>
        <w:gridCol w:w="8799"/>
      </w:tblGrid>
      <w:tr>
        <w:trPr/>
        <w:tc>
          <w:tcPr>
            <w:tcW w:w="839" w:type="dxa"/>
            <w:tcBorders>
              <w:top w:val="single" w:sz="4" w:space="0" w:color="000001"/>
              <w:left w:val="single" w:sz="4" w:space="0" w:color="000001"/>
              <w:bottom w:val="single" w:sz="4" w:space="0" w:color="000001"/>
            </w:tcBorders>
            <w:shd w:fill="auto" w:val="clear"/>
          </w:tcPr>
          <w:p>
            <w:pPr>
              <w:pStyle w:val="Normal"/>
              <w:tabs>
                <w:tab w:val="clear" w:pos="708"/>
                <w:tab w:val="left" w:pos="6165" w:leader="none"/>
              </w:tabs>
              <w:spacing w:lineRule="auto" w:line="240" w:before="120" w:after="0"/>
              <w:jc w:val="center"/>
              <w:rPr/>
            </w:pPr>
            <w:r>
              <w:rPr>
                <w:rFonts w:ascii="Times New Roman" w:hAnsi="Times New Roman"/>
                <w:sz w:val="25"/>
                <w:szCs w:val="25"/>
              </w:rPr>
              <w:t xml:space="preserve">Зона </w:t>
            </w:r>
          </w:p>
        </w:tc>
        <w:tc>
          <w:tcPr>
            <w:tcW w:w="8799"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6165" w:leader="none"/>
              </w:tabs>
              <w:spacing w:lineRule="auto" w:line="240" w:before="120" w:after="0"/>
              <w:jc w:val="center"/>
              <w:rPr/>
            </w:pPr>
            <w:r>
              <w:rPr>
                <w:rFonts w:ascii="Times New Roman" w:hAnsi="Times New Roman"/>
                <w:sz w:val="25"/>
                <w:szCs w:val="25"/>
              </w:rPr>
              <w:t>Перелік вулиць та провулків</w:t>
            </w:r>
          </w:p>
        </w:tc>
      </w:tr>
      <w:tr>
        <w:trPr/>
        <w:tc>
          <w:tcPr>
            <w:tcW w:w="839" w:type="dxa"/>
            <w:tcBorders>
              <w:top w:val="single" w:sz="4" w:space="0" w:color="000001"/>
              <w:left w:val="single" w:sz="4" w:space="0" w:color="000001"/>
              <w:bottom w:val="single" w:sz="4" w:space="0" w:color="000001"/>
            </w:tcBorders>
            <w:shd w:fill="auto" w:val="clear"/>
            <w:vAlign w:val="center"/>
          </w:tcPr>
          <w:p>
            <w:pPr>
              <w:pStyle w:val="Normal"/>
              <w:tabs>
                <w:tab w:val="clear" w:pos="708"/>
                <w:tab w:val="left" w:pos="6165" w:leader="none"/>
              </w:tabs>
              <w:spacing w:lineRule="auto" w:line="240" w:before="120" w:after="0"/>
              <w:jc w:val="center"/>
              <w:rPr/>
            </w:pPr>
            <w:r>
              <w:rPr>
                <w:rFonts w:ascii="Times New Roman" w:hAnsi="Times New Roman"/>
                <w:sz w:val="25"/>
                <w:szCs w:val="25"/>
              </w:rPr>
              <w:t>1</w:t>
            </w:r>
          </w:p>
        </w:tc>
        <w:tc>
          <w:tcPr>
            <w:tcW w:w="8799"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6165" w:leader="none"/>
              </w:tabs>
              <w:spacing w:lineRule="auto" w:line="240" w:before="120" w:after="0"/>
              <w:jc w:val="both"/>
              <w:rPr/>
            </w:pPr>
            <w:r>
              <w:rPr>
                <w:rFonts w:ascii="Times New Roman" w:hAnsi="Times New Roman"/>
                <w:sz w:val="25"/>
                <w:szCs w:val="25"/>
              </w:rPr>
              <w:t>вулиці: Благодатна, Виборзька, Гагаріна, Героїв України, Героїв Чорнобиля, Глінки, Горького, Дніпровська, Заводська, Затишна, Західна, Зонова, Курчатова, Матросова, Медична, Незалежності, Освіти, Партизанська, Південна міська, Північна, Північно-промислова, Підстепна, Пляжна, Пушкіна, Середи Григорія, Соборна, Тикви Григорія, Титова, Торгова, Уральська, Хмельницького Богдана, Центральна, Чайкіної Лізи, Чайковського, Чехова, Чіатурська, Шатохина, Ясна</w:t>
            </w:r>
          </w:p>
          <w:p>
            <w:pPr>
              <w:pStyle w:val="Normal"/>
              <w:tabs>
                <w:tab w:val="clear" w:pos="708"/>
                <w:tab w:val="left" w:pos="6165" w:leader="none"/>
              </w:tabs>
              <w:spacing w:lineRule="auto" w:line="240" w:before="120" w:after="0"/>
              <w:jc w:val="both"/>
              <w:rPr/>
            </w:pPr>
            <w:r>
              <w:rPr>
                <w:rFonts w:ascii="Times New Roman" w:hAnsi="Times New Roman"/>
                <w:sz w:val="25"/>
                <w:szCs w:val="25"/>
              </w:rPr>
              <w:t xml:space="preserve">провулки:  Пушкіна, Титова, Ушакова </w:t>
            </w:r>
          </w:p>
        </w:tc>
      </w:tr>
      <w:tr>
        <w:trPr>
          <w:trHeight w:val="4615" w:hRule="atLeast"/>
        </w:trPr>
        <w:tc>
          <w:tcPr>
            <w:tcW w:w="839" w:type="dxa"/>
            <w:tcBorders>
              <w:top w:val="single" w:sz="4" w:space="0" w:color="000001"/>
              <w:left w:val="single" w:sz="4" w:space="0" w:color="000001"/>
              <w:bottom w:val="single" w:sz="4" w:space="0" w:color="000001"/>
            </w:tcBorders>
            <w:shd w:fill="auto" w:val="clear"/>
            <w:vAlign w:val="center"/>
          </w:tcPr>
          <w:p>
            <w:pPr>
              <w:pStyle w:val="Normal"/>
              <w:tabs>
                <w:tab w:val="clear" w:pos="708"/>
                <w:tab w:val="left" w:pos="6165" w:leader="none"/>
              </w:tabs>
              <w:spacing w:lineRule="auto" w:line="240" w:before="120" w:after="0"/>
              <w:jc w:val="center"/>
              <w:rPr/>
            </w:pPr>
            <w:r>
              <w:rPr>
                <w:rFonts w:ascii="Times New Roman" w:hAnsi="Times New Roman"/>
                <w:sz w:val="25"/>
                <w:szCs w:val="25"/>
              </w:rPr>
              <w:t>2</w:t>
            </w:r>
          </w:p>
        </w:tc>
        <w:tc>
          <w:tcPr>
            <w:tcW w:w="8799"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6165" w:leader="none"/>
              </w:tabs>
              <w:spacing w:lineRule="auto" w:line="240" w:before="120" w:after="0"/>
              <w:jc w:val="both"/>
              <w:rPr/>
            </w:pPr>
            <w:r>
              <w:rPr>
                <w:rFonts w:ascii="Times New Roman" w:hAnsi="Times New Roman"/>
                <w:sz w:val="25"/>
                <w:szCs w:val="25"/>
              </w:rPr>
              <w:t xml:space="preserve">вулиці: Базавлуцька, Балкова, Бункерна, Вишнева, Водопровідна, Волгоградська, Гастелла, Гірницька, Гоголя, Громової Уляни, Грушевського, Гудзя, Дружби, Іллюшина, Калинова, Каховська, Київська, Клубна, Кобзарська, Кожедуба, Козацька, Короленка, Космонавтів, Кримська, Кутузова, Лумумби Патріса, Малки Івана, Мелітопольська, Мічуріна, Набережна, Нова, Новосельська, Олександрівська, Орлика Пилипа, Павлова, Панфілова, Паркова, Петропавлівська, Першотравнева, Південна, Підгорна, Праці, П’ятихатки, Робітнича, Руднічна, Садова, Севастопольська, Симонова, Скіфська, Слов’янська, Сонячна, Суворова, Твардовського, Тімірязєва, Транспортна, Трудова, Тургенєва, Фабрична, Червоного Хреста, Чернишевського, Чкалова, Чуйкова, Шахтна, Шевченка, Шкільна, Шляхова, Шмідта, Шолохівська, Юності, </w:t>
            </w:r>
          </w:p>
          <w:p>
            <w:pPr>
              <w:pStyle w:val="Normal"/>
              <w:tabs>
                <w:tab w:val="clear" w:pos="708"/>
                <w:tab w:val="left" w:pos="6165" w:leader="none"/>
              </w:tabs>
              <w:spacing w:lineRule="auto" w:line="240" w:before="120" w:after="0"/>
              <w:jc w:val="both"/>
              <w:rPr/>
            </w:pPr>
            <w:r>
              <w:rPr>
                <w:rFonts w:ascii="Times New Roman" w:hAnsi="Times New Roman"/>
                <w:sz w:val="25"/>
                <w:szCs w:val="25"/>
              </w:rPr>
              <w:t xml:space="preserve">провулки: Алтайський, Будівельний, Депутатський, Довженка, Зелений, Знам’янський, Зоряний, Ковпака, Молодіжний, Парковий, Полтавський, Польовий, Поштовий, Річковий, Сірка, Тихий, Універсальний, Яворницького </w:t>
            </w:r>
          </w:p>
          <w:p>
            <w:pPr>
              <w:pStyle w:val="Normal"/>
              <w:tabs>
                <w:tab w:val="clear" w:pos="708"/>
                <w:tab w:val="left" w:pos="6165" w:leader="none"/>
              </w:tabs>
              <w:spacing w:lineRule="auto" w:line="240" w:before="120" w:after="0"/>
              <w:jc w:val="both"/>
              <w:rPr/>
            </w:pPr>
            <w:r>
              <w:rPr>
                <w:rFonts w:ascii="Times New Roman" w:hAnsi="Times New Roman"/>
                <w:b/>
                <w:sz w:val="25"/>
                <w:szCs w:val="25"/>
              </w:rPr>
              <w:t>смт.Чортомлик</w:t>
            </w:r>
            <w:r>
              <w:rPr>
                <w:rFonts w:ascii="Times New Roman" w:hAnsi="Times New Roman"/>
                <w:sz w:val="25"/>
                <w:szCs w:val="25"/>
              </w:rPr>
              <w:t xml:space="preserve"> вулиці: Аграрна, Айвазовського, Бородіно, Вокзальна, Гризодубової, Залізнична, Зелена, Зустрічна, Історична, Комарова, Мирного Панаса, Миру, Молодогвардійська, Мостова, Нахімова, Осипенко Поліни, Перевальна, Серьогіна, Сєрова, Сірка Івана, Станційна, Теплична, Українська, Українки Лесі, Чортомлицька, 8 Березня,  провулок Серьогіна</w:t>
            </w:r>
          </w:p>
        </w:tc>
      </w:tr>
      <w:tr>
        <w:trPr/>
        <w:tc>
          <w:tcPr>
            <w:tcW w:w="839" w:type="dxa"/>
            <w:tcBorders>
              <w:top w:val="single" w:sz="4" w:space="0" w:color="000001"/>
              <w:left w:val="single" w:sz="4" w:space="0" w:color="000001"/>
              <w:bottom w:val="single" w:sz="4" w:space="0" w:color="000001"/>
            </w:tcBorders>
            <w:shd w:fill="auto" w:val="clear"/>
            <w:vAlign w:val="center"/>
          </w:tcPr>
          <w:p>
            <w:pPr>
              <w:pStyle w:val="Normal"/>
              <w:tabs>
                <w:tab w:val="clear" w:pos="708"/>
                <w:tab w:val="left" w:pos="6165" w:leader="none"/>
              </w:tabs>
              <w:spacing w:lineRule="auto" w:line="240" w:before="120" w:after="0"/>
              <w:jc w:val="center"/>
              <w:rPr/>
            </w:pPr>
            <w:r>
              <w:rPr>
                <w:rFonts w:ascii="Times New Roman" w:hAnsi="Times New Roman"/>
                <w:sz w:val="25"/>
                <w:szCs w:val="25"/>
              </w:rPr>
              <w:t>3</w:t>
            </w:r>
          </w:p>
        </w:tc>
        <w:tc>
          <w:tcPr>
            <w:tcW w:w="8799" w:type="dxa"/>
            <w:tcBorders>
              <w:top w:val="single" w:sz="4" w:space="0" w:color="000001"/>
              <w:left w:val="single" w:sz="4" w:space="0" w:color="000001"/>
              <w:bottom w:val="single" w:sz="4" w:space="0" w:color="000001"/>
              <w:right w:val="single" w:sz="4" w:space="0" w:color="000001"/>
            </w:tcBorders>
            <w:shd w:color="auto" w:fill="FFFFFF" w:themeFill="background1" w:val="clear"/>
          </w:tcPr>
          <w:p>
            <w:pPr>
              <w:pStyle w:val="Normal"/>
              <w:tabs>
                <w:tab w:val="clear" w:pos="708"/>
                <w:tab w:val="left" w:pos="6165" w:leader="none"/>
              </w:tabs>
              <w:spacing w:lineRule="auto" w:line="240" w:before="0" w:after="0"/>
              <w:jc w:val="both"/>
              <w:rPr/>
            </w:pPr>
            <w:r>
              <w:rPr>
                <w:rFonts w:ascii="Times New Roman" w:hAnsi="Times New Roman"/>
                <w:b/>
                <w:sz w:val="25"/>
                <w:szCs w:val="25"/>
              </w:rPr>
              <w:t>смт.Гірницьке</w:t>
            </w:r>
            <w:r>
              <w:rPr>
                <w:rFonts w:ascii="Times New Roman" w:hAnsi="Times New Roman"/>
                <w:sz w:val="25"/>
                <w:szCs w:val="25"/>
              </w:rPr>
              <w:t xml:space="preserve"> вулиці: Армійська, Братська, Ватутіна, Карбишева, Ломоносова, Маяковського, Нижня, Привокзальна, Репіна, Свободи, Фермерська, Франка Івана, Шахтарська</w:t>
            </w:r>
          </w:p>
          <w:p>
            <w:pPr>
              <w:pStyle w:val="Normal"/>
              <w:tabs>
                <w:tab w:val="clear" w:pos="708"/>
                <w:tab w:val="left" w:pos="6165" w:leader="none"/>
              </w:tabs>
              <w:spacing w:lineRule="auto" w:line="240" w:before="0" w:after="0"/>
              <w:jc w:val="both"/>
              <w:rPr/>
            </w:pPr>
            <w:r>
              <w:rPr>
                <w:rFonts w:ascii="Times New Roman" w:hAnsi="Times New Roman"/>
                <w:b/>
                <w:sz w:val="25"/>
                <w:szCs w:val="25"/>
              </w:rPr>
              <w:t>с.П.Хутори</w:t>
            </w:r>
            <w:r>
              <w:rPr>
                <w:rFonts w:ascii="Times New Roman" w:hAnsi="Times New Roman"/>
                <w:sz w:val="25"/>
                <w:szCs w:val="25"/>
              </w:rPr>
              <w:t xml:space="preserve"> вулиці: Абрикосова, Грибоєдова, Дідика, Добролюбова, Запорізька, Кошового, Крилова, Лермонтова, Перевізна, Печерського, Чумацька, провулок Степовий</w:t>
            </w:r>
          </w:p>
          <w:p>
            <w:pPr>
              <w:pStyle w:val="Normal"/>
              <w:tabs>
                <w:tab w:val="clear" w:pos="708"/>
                <w:tab w:val="left" w:pos="6165" w:leader="none"/>
              </w:tabs>
              <w:spacing w:lineRule="auto" w:line="240" w:before="0" w:after="0"/>
              <w:jc w:val="both"/>
              <w:rPr/>
            </w:pPr>
            <w:r>
              <w:rPr>
                <w:rFonts w:ascii="Times New Roman" w:hAnsi="Times New Roman"/>
                <w:b/>
                <w:sz w:val="25"/>
                <w:szCs w:val="25"/>
              </w:rPr>
              <w:t>с.Шолохове</w:t>
            </w:r>
            <w:r>
              <w:rPr>
                <w:rFonts w:ascii="Times New Roman" w:hAnsi="Times New Roman"/>
                <w:sz w:val="25"/>
                <w:szCs w:val="25"/>
              </w:rPr>
              <w:t xml:space="preserve"> вулиці: 40 років Перемоги, Базарна, Висока, Вишнева, Гірна, Дальня, Дорожна, Зарічна, Затишна, Зелена, Зоряна, Козацька, Кооперативна, Котляревського Івана, Кренкеля, Тикви Марії, Осипенка, Папаніна, Польова, Поштова, Пушкаря, Пушкіна, Раскової М., Садова, Світла, Сірко І., Соборна, Сонячна, Степова, Таврійська, Федорова, Франка Івана, Чуйкова, Шевченко, Шкільна, Ярова, Центральна, Ломана, Максимчука, Мирна, Молдавська, Молодіжна, Набережна, Лікарняна;</w:t>
            </w:r>
          </w:p>
          <w:p>
            <w:pPr>
              <w:pStyle w:val="Normal"/>
              <w:tabs>
                <w:tab w:val="clear" w:pos="708"/>
                <w:tab w:val="left" w:pos="6165" w:leader="none"/>
              </w:tabs>
              <w:spacing w:lineRule="auto" w:line="240" w:before="0" w:after="0"/>
              <w:jc w:val="both"/>
              <w:rPr/>
            </w:pPr>
            <w:r>
              <w:rPr>
                <w:rFonts w:ascii="Times New Roman" w:hAnsi="Times New Roman"/>
                <w:sz w:val="25"/>
                <w:szCs w:val="25"/>
              </w:rPr>
              <w:t>провулки: Вільний, Крутий, Ломаний, Прямий.</w:t>
            </w:r>
          </w:p>
          <w:p>
            <w:pPr>
              <w:pStyle w:val="Normal"/>
              <w:tabs>
                <w:tab w:val="clear" w:pos="708"/>
                <w:tab w:val="left" w:pos="6165" w:leader="none"/>
              </w:tabs>
              <w:spacing w:lineRule="auto" w:line="240" w:before="0" w:after="0"/>
              <w:jc w:val="both"/>
              <w:rPr/>
            </w:pPr>
            <w:r>
              <w:rPr>
                <w:rFonts w:ascii="Times New Roman" w:hAnsi="Times New Roman"/>
                <w:b/>
                <w:sz w:val="25"/>
                <w:szCs w:val="25"/>
              </w:rPr>
              <w:t xml:space="preserve">с. Миронівка </w:t>
            </w:r>
            <w:r>
              <w:rPr>
                <w:rFonts w:ascii="Times New Roman" w:hAnsi="Times New Roman"/>
                <w:sz w:val="25"/>
                <w:szCs w:val="25"/>
              </w:rPr>
              <w:t>вулиці: Дальня, Набережна, Січова, Шевченко, Садова, Шкільна, Зарічна, Матросова;</w:t>
            </w:r>
          </w:p>
          <w:p>
            <w:pPr>
              <w:pStyle w:val="Normal"/>
              <w:tabs>
                <w:tab w:val="clear" w:pos="708"/>
                <w:tab w:val="left" w:pos="6165" w:leader="none"/>
              </w:tabs>
              <w:spacing w:lineRule="auto" w:line="240" w:before="0" w:after="0"/>
              <w:jc w:val="both"/>
              <w:rPr/>
            </w:pPr>
            <w:r>
              <w:rPr>
                <w:rFonts w:ascii="Times New Roman" w:hAnsi="Times New Roman"/>
                <w:sz w:val="25"/>
                <w:szCs w:val="25"/>
              </w:rPr>
              <w:t>провулки: Гагаріна, Матросова, Партизанський, Степовий, Шкільний.</w:t>
            </w:r>
          </w:p>
          <w:p>
            <w:pPr>
              <w:pStyle w:val="Normal"/>
              <w:tabs>
                <w:tab w:val="clear" w:pos="708"/>
                <w:tab w:val="left" w:pos="6165" w:leader="none"/>
              </w:tabs>
              <w:spacing w:lineRule="auto" w:line="240" w:before="0" w:after="0"/>
              <w:jc w:val="both"/>
              <w:rPr/>
            </w:pPr>
            <w:r>
              <w:rPr>
                <w:rFonts w:ascii="Times New Roman" w:hAnsi="Times New Roman"/>
                <w:b/>
                <w:sz w:val="25"/>
                <w:szCs w:val="25"/>
              </w:rPr>
              <w:t>с.Улянівка</w:t>
            </w:r>
            <w:r>
              <w:rPr>
                <w:rFonts w:ascii="Times New Roman" w:hAnsi="Times New Roman"/>
                <w:sz w:val="25"/>
                <w:szCs w:val="25"/>
              </w:rPr>
              <w:t xml:space="preserve"> вулиці: Гагаріна, Чкалова</w:t>
            </w:r>
          </w:p>
        </w:tc>
      </w:tr>
    </w:tbl>
    <w:p>
      <w:pPr>
        <w:pStyle w:val="Normal"/>
        <w:tabs>
          <w:tab w:val="clear" w:pos="708"/>
          <w:tab w:val="left" w:pos="6165" w:leader="none"/>
        </w:tabs>
        <w:spacing w:lineRule="auto" w:line="240" w:before="120" w:after="0"/>
        <w:jc w:val="both"/>
        <w:rPr/>
      </w:pPr>
      <w:r>
        <w:rPr>
          <w:rFonts w:cs="Times New Roman" w:ascii="Times New Roman" w:hAnsi="Times New Roman"/>
          <w:position w:val="0"/>
          <w:sz w:val="28"/>
          <w:sz w:val="28"/>
          <w:szCs w:val="28"/>
          <w:vertAlign w:val="baseline"/>
          <w:lang w:val="uk-UA" w:eastAsia="ru-RU"/>
        </w:rPr>
        <w:t>Начальник відділу економіки</w:t>
        <w:tab/>
        <w:tab/>
        <w:tab/>
        <w:tab/>
        <w:t>О.Ю. Глазкова</w:t>
      </w:r>
    </w:p>
    <w:sectPr>
      <w:type w:val="nextPage"/>
      <w:pgSz w:w="11906" w:h="16838"/>
      <w:pgMar w:left="1701" w:right="567" w:header="0" w:top="810"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Verdana">
    <w:charset w:val="01"/>
    <w:family w:val="roman"/>
    <w:pitch w:val="variable"/>
  </w:font>
  <w:font w:name="Antiqu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068"/>
        </w:tabs>
        <w:ind w:left="1068" w:hanging="360"/>
      </w:pPr>
      <w:rPr>
        <w:sz w:val="28"/>
        <w:szCs w:val="28"/>
      </w:rPr>
    </w:lvl>
    <w:lvl w:ilvl="1">
      <w:start w:val="1"/>
      <w:numFmt w:val="decimal"/>
      <w:lvlText w:val="%1.%2"/>
      <w:lvlJc w:val="left"/>
      <w:pPr>
        <w:tabs>
          <w:tab w:val="num" w:pos="1128"/>
        </w:tabs>
        <w:ind w:left="1128" w:hanging="420"/>
      </w:pPr>
      <w:rPr>
        <w:sz w:val="28"/>
        <w:szCs w:val="28"/>
      </w:rPr>
    </w:lvl>
    <w:lvl w:ilvl="2">
      <w:start w:val="1"/>
      <w:numFmt w:val="decimal"/>
      <w:lvlText w:val="%1.%2.%3"/>
      <w:lvlJc w:val="left"/>
      <w:pPr>
        <w:tabs>
          <w:tab w:val="num" w:pos="1428"/>
        </w:tabs>
        <w:ind w:left="1428" w:hanging="720"/>
      </w:pPr>
      <w:rPr>
        <w:sz w:val="28"/>
        <w:szCs w:val="28"/>
      </w:rPr>
    </w:lvl>
    <w:lvl w:ilvl="3">
      <w:start w:val="1"/>
      <w:numFmt w:val="decimal"/>
      <w:lvlText w:val="%1.%2.%3.%4"/>
      <w:lvlJc w:val="left"/>
      <w:pPr>
        <w:tabs>
          <w:tab w:val="num" w:pos="1788"/>
        </w:tabs>
        <w:ind w:left="1788" w:hanging="1080"/>
      </w:pPr>
      <w:rPr>
        <w:sz w:val="28"/>
        <w:szCs w:val="28"/>
      </w:rPr>
    </w:lvl>
    <w:lvl w:ilvl="4">
      <w:start w:val="1"/>
      <w:numFmt w:val="decimal"/>
      <w:lvlText w:val="%1.%2.%3.%4.%5"/>
      <w:lvlJc w:val="left"/>
      <w:pPr>
        <w:tabs>
          <w:tab w:val="num" w:pos="1788"/>
        </w:tabs>
        <w:ind w:left="1788" w:hanging="1080"/>
      </w:pPr>
      <w:rPr>
        <w:sz w:val="28"/>
        <w:szCs w:val="28"/>
      </w:rPr>
    </w:lvl>
    <w:lvl w:ilvl="5">
      <w:start w:val="1"/>
      <w:numFmt w:val="decimal"/>
      <w:lvlText w:val="%1.%2.%3.%4.%5.%6"/>
      <w:lvlJc w:val="left"/>
      <w:pPr>
        <w:tabs>
          <w:tab w:val="num" w:pos="2148"/>
        </w:tabs>
        <w:ind w:left="2148" w:hanging="1440"/>
      </w:pPr>
      <w:rPr>
        <w:sz w:val="28"/>
        <w:szCs w:val="28"/>
      </w:rPr>
    </w:lvl>
    <w:lvl w:ilvl="6">
      <w:start w:val="1"/>
      <w:numFmt w:val="decimal"/>
      <w:lvlText w:val="%1.%2.%3.%4.%5.%6.%7"/>
      <w:lvlJc w:val="left"/>
      <w:pPr>
        <w:tabs>
          <w:tab w:val="num" w:pos="2148"/>
        </w:tabs>
        <w:ind w:left="2148" w:hanging="1440"/>
      </w:pPr>
      <w:rPr>
        <w:sz w:val="28"/>
        <w:szCs w:val="28"/>
      </w:rPr>
    </w:lvl>
    <w:lvl w:ilvl="7">
      <w:start w:val="1"/>
      <w:numFmt w:val="decimal"/>
      <w:lvlText w:val="%1.%2.%3.%4.%5.%6.%7.%8"/>
      <w:lvlJc w:val="left"/>
      <w:pPr>
        <w:tabs>
          <w:tab w:val="num" w:pos="2508"/>
        </w:tabs>
        <w:ind w:left="2508" w:hanging="1800"/>
      </w:pPr>
      <w:rPr>
        <w:sz w:val="28"/>
        <w:szCs w:val="28"/>
      </w:rPr>
    </w:lvl>
    <w:lvl w:ilvl="8">
      <w:start w:val="1"/>
      <w:numFmt w:val="decimal"/>
      <w:lvlText w:val="%1.%2.%3.%4.%5.%6.%7.%8.%9"/>
      <w:lvlJc w:val="left"/>
      <w:pPr>
        <w:tabs>
          <w:tab w:val="num" w:pos="2868"/>
        </w:tabs>
        <w:ind w:left="2868" w:hanging="2160"/>
      </w:pPr>
      <w:rPr>
        <w:sz w:val="28"/>
        <w:szCs w:val="28"/>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semiHidden="0" w:unhideWhenUsed="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2">
    <w:name w:val="Heading 2"/>
    <w:basedOn w:val="Normal"/>
    <w:link w:val="20"/>
    <w:qFormat/>
    <w:rsid w:val="008f3b95"/>
    <w:pPr>
      <w:keepNext w:val="true"/>
      <w:tabs>
        <w:tab w:val="clear" w:pos="708"/>
        <w:tab w:val="left" w:pos="0" w:leader="none"/>
      </w:tabs>
      <w:spacing w:lineRule="auto" w:line="240" w:before="0" w:after="0"/>
      <w:jc w:val="center"/>
      <w:outlineLvl w:val="1"/>
    </w:pPr>
    <w:rPr>
      <w:rFonts w:ascii="Times New Roman" w:hAnsi="Times New Roman" w:eastAsia="Times New Roman"/>
      <w:b/>
      <w:sz w:val="28"/>
      <w:szCs w:val="20"/>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3" w:customStyle="1">
    <w:name w:val="Основной текст Знак"/>
    <w:qFormat/>
    <w:rPr>
      <w:rFonts w:ascii="Times New Roman" w:hAnsi="Times New Roman" w:eastAsia="Andale Sans UI" w:cs="Times New Roman"/>
      <w:kern w:val="2"/>
      <w:sz w:val="24"/>
      <w:szCs w:val="24"/>
    </w:rPr>
  </w:style>
  <w:style w:type="character" w:styleId="21" w:customStyle="1">
    <w:name w:val="Заголовок 2 Знак"/>
    <w:basedOn w:val="DefaultParagraphFont"/>
    <w:link w:val="2"/>
    <w:qFormat/>
    <w:rsid w:val="008f3b95"/>
    <w:rPr>
      <w:b/>
      <w:sz w:val="28"/>
      <w:lang w:val="uk-UA" w:eastAsia="zh-CN"/>
    </w:rPr>
  </w:style>
  <w:style w:type="character" w:styleId="WW8Num1z0" w:customStyle="1">
    <w:name w:val="WW8Num1z0"/>
    <w:qFormat/>
    <w:rsid w:val="008f3b95"/>
    <w:rPr/>
  </w:style>
  <w:style w:type="character" w:styleId="WW8Num1z1" w:customStyle="1">
    <w:name w:val="WW8Num1z1"/>
    <w:qFormat/>
    <w:rsid w:val="008f3b95"/>
    <w:rPr/>
  </w:style>
  <w:style w:type="character" w:styleId="WW8Num1z2" w:customStyle="1">
    <w:name w:val="WW8Num1z2"/>
    <w:qFormat/>
    <w:rsid w:val="008f3b95"/>
    <w:rPr/>
  </w:style>
  <w:style w:type="character" w:styleId="WW8Num1z3" w:customStyle="1">
    <w:name w:val="WW8Num1z3"/>
    <w:qFormat/>
    <w:rsid w:val="008f3b95"/>
    <w:rPr/>
  </w:style>
  <w:style w:type="character" w:styleId="WW8Num1z4" w:customStyle="1">
    <w:name w:val="WW8Num1z4"/>
    <w:qFormat/>
    <w:rsid w:val="008f3b95"/>
    <w:rPr/>
  </w:style>
  <w:style w:type="character" w:styleId="WW8Num1z5" w:customStyle="1">
    <w:name w:val="WW8Num1z5"/>
    <w:qFormat/>
    <w:rsid w:val="008f3b95"/>
    <w:rPr/>
  </w:style>
  <w:style w:type="character" w:styleId="WW8Num1z6" w:customStyle="1">
    <w:name w:val="WW8Num1z6"/>
    <w:qFormat/>
    <w:rsid w:val="008f3b95"/>
    <w:rPr/>
  </w:style>
  <w:style w:type="character" w:styleId="WW8Num1z7" w:customStyle="1">
    <w:name w:val="WW8Num1z7"/>
    <w:qFormat/>
    <w:rsid w:val="008f3b95"/>
    <w:rPr/>
  </w:style>
  <w:style w:type="character" w:styleId="WW8Num1z8" w:customStyle="1">
    <w:name w:val="WW8Num1z8"/>
    <w:qFormat/>
    <w:rsid w:val="008f3b95"/>
    <w:rPr/>
  </w:style>
  <w:style w:type="character" w:styleId="WW8Num2z0" w:customStyle="1">
    <w:name w:val="WW8Num2z0"/>
    <w:qFormat/>
    <w:rsid w:val="008f3b95"/>
    <w:rPr>
      <w:sz w:val="28"/>
      <w:szCs w:val="28"/>
    </w:rPr>
  </w:style>
  <w:style w:type="character" w:styleId="WW8Num2z1" w:customStyle="1">
    <w:name w:val="WW8Num2z1"/>
    <w:qFormat/>
    <w:rsid w:val="008f3b95"/>
    <w:rPr/>
  </w:style>
  <w:style w:type="character" w:styleId="WW8Num2z2" w:customStyle="1">
    <w:name w:val="WW8Num2z2"/>
    <w:qFormat/>
    <w:rsid w:val="008f3b95"/>
    <w:rPr/>
  </w:style>
  <w:style w:type="character" w:styleId="WW8Num2z3" w:customStyle="1">
    <w:name w:val="WW8Num2z3"/>
    <w:qFormat/>
    <w:rsid w:val="008f3b95"/>
    <w:rPr/>
  </w:style>
  <w:style w:type="character" w:styleId="WW8Num2z4" w:customStyle="1">
    <w:name w:val="WW8Num2z4"/>
    <w:qFormat/>
    <w:rsid w:val="008f3b95"/>
    <w:rPr/>
  </w:style>
  <w:style w:type="character" w:styleId="WW8Num2z5" w:customStyle="1">
    <w:name w:val="WW8Num2z5"/>
    <w:qFormat/>
    <w:rsid w:val="008f3b95"/>
    <w:rPr/>
  </w:style>
  <w:style w:type="character" w:styleId="WW8Num2z6" w:customStyle="1">
    <w:name w:val="WW8Num2z6"/>
    <w:qFormat/>
    <w:rsid w:val="008f3b95"/>
    <w:rPr/>
  </w:style>
  <w:style w:type="character" w:styleId="WW8Num2z7" w:customStyle="1">
    <w:name w:val="WW8Num2z7"/>
    <w:qFormat/>
    <w:rsid w:val="008f3b95"/>
    <w:rPr/>
  </w:style>
  <w:style w:type="character" w:styleId="WW8Num2z8" w:customStyle="1">
    <w:name w:val="WW8Num2z8"/>
    <w:qFormat/>
    <w:rsid w:val="008f3b95"/>
    <w:rPr/>
  </w:style>
  <w:style w:type="character" w:styleId="WW8Num3z0" w:customStyle="1">
    <w:name w:val="WW8Num3z0"/>
    <w:qFormat/>
    <w:rsid w:val="008f3b95"/>
    <w:rPr/>
  </w:style>
  <w:style w:type="character" w:styleId="Rvts44" w:customStyle="1">
    <w:name w:val="rvts44"/>
    <w:basedOn w:val="1"/>
    <w:qFormat/>
    <w:rsid w:val="008f3b95"/>
    <w:rPr/>
  </w:style>
  <w:style w:type="character" w:styleId="StyleZakonu" w:customStyle="1">
    <w:name w:val="StyleZakonu Знак"/>
    <w:qFormat/>
    <w:rsid w:val="008f3b95"/>
    <w:rPr>
      <w:lang w:val="uk-UA" w:bidi="ar-SA"/>
    </w:rPr>
  </w:style>
  <w:style w:type="character" w:styleId="Style14" w:customStyle="1">
    <w:name w:val="Текст выноски Знак"/>
    <w:basedOn w:val="DefaultParagraphFont"/>
    <w:link w:val="a9"/>
    <w:qFormat/>
    <w:rsid w:val="008f3b95"/>
    <w:rPr>
      <w:rFonts w:ascii="Tahoma" w:hAnsi="Tahoma" w:cs="Tahoma"/>
      <w:sz w:val="16"/>
      <w:szCs w:val="16"/>
      <w:lang w:eastAsia="zh-CN"/>
    </w:rPr>
  </w:style>
  <w:style w:type="character" w:styleId="ListLabel1">
    <w:name w:val="ListLabel 1"/>
    <w:qFormat/>
    <w:rPr>
      <w:sz w:val="28"/>
      <w:szCs w:val="28"/>
    </w:rPr>
  </w:style>
  <w:style w:type="character" w:styleId="ListLabel2">
    <w:name w:val="ListLabel 2"/>
    <w:qFormat/>
    <w:rPr>
      <w:sz w:val="28"/>
      <w:szCs w:val="28"/>
    </w:rPr>
  </w:style>
  <w:style w:type="character" w:styleId="ListLabel3">
    <w:name w:val="ListLabel 3"/>
    <w:qFormat/>
    <w:rPr>
      <w:sz w:val="28"/>
      <w:szCs w:val="28"/>
    </w:rPr>
  </w:style>
  <w:style w:type="character" w:styleId="ListLabel4">
    <w:name w:val="ListLabel 4"/>
    <w:qFormat/>
    <w:rPr>
      <w:sz w:val="28"/>
      <w:szCs w:val="28"/>
    </w:rPr>
  </w:style>
  <w:style w:type="character" w:styleId="ListLabel5">
    <w:name w:val="ListLabel 5"/>
    <w:qFormat/>
    <w:rPr>
      <w:sz w:val="28"/>
      <w:szCs w:val="28"/>
    </w:rPr>
  </w:style>
  <w:style w:type="character" w:styleId="ListLabel6">
    <w:name w:val="ListLabel 6"/>
    <w:qFormat/>
    <w:rPr>
      <w:sz w:val="28"/>
      <w:szCs w:val="28"/>
    </w:rPr>
  </w:style>
  <w:style w:type="character" w:styleId="ListLabel7">
    <w:name w:val="ListLabel 7"/>
    <w:qFormat/>
    <w:rPr>
      <w:sz w:val="28"/>
      <w:szCs w:val="28"/>
    </w:rPr>
  </w:style>
  <w:style w:type="character" w:styleId="ListLabel8">
    <w:name w:val="ListLabel 8"/>
    <w:qFormat/>
    <w:rPr>
      <w:sz w:val="28"/>
      <w:szCs w:val="28"/>
    </w:rPr>
  </w:style>
  <w:style w:type="character" w:styleId="ListLabel9">
    <w:name w:val="ListLabel 9"/>
    <w:qFormat/>
    <w:rPr>
      <w:sz w:val="28"/>
      <w:szCs w:val="28"/>
    </w:rPr>
  </w:style>
  <w:style w:type="character" w:styleId="ListLabel10">
    <w:name w:val="ListLabel 10"/>
    <w:qFormat/>
    <w:rPr>
      <w:sz w:val="28"/>
      <w:szCs w:val="28"/>
    </w:rPr>
  </w:style>
  <w:style w:type="character" w:styleId="ListLabel11">
    <w:name w:val="ListLabel 11"/>
    <w:qFormat/>
    <w:rPr>
      <w:sz w:val="28"/>
      <w:szCs w:val="28"/>
    </w:rPr>
  </w:style>
  <w:style w:type="character" w:styleId="ListLabel12">
    <w:name w:val="ListLabel 12"/>
    <w:qFormat/>
    <w:rPr>
      <w:sz w:val="28"/>
      <w:szCs w:val="28"/>
    </w:rPr>
  </w:style>
  <w:style w:type="character" w:styleId="ListLabel13">
    <w:name w:val="ListLabel 13"/>
    <w:qFormat/>
    <w:rPr>
      <w:sz w:val="28"/>
      <w:szCs w:val="28"/>
    </w:rPr>
  </w:style>
  <w:style w:type="character" w:styleId="ListLabel14">
    <w:name w:val="ListLabel 14"/>
    <w:qFormat/>
    <w:rPr>
      <w:sz w:val="28"/>
      <w:szCs w:val="28"/>
    </w:rPr>
  </w:style>
  <w:style w:type="character" w:styleId="ListLabel15">
    <w:name w:val="ListLabel 15"/>
    <w:qFormat/>
    <w:rPr>
      <w:sz w:val="28"/>
      <w:szCs w:val="28"/>
    </w:rPr>
  </w:style>
  <w:style w:type="character" w:styleId="ListLabel16">
    <w:name w:val="ListLabel 16"/>
    <w:qFormat/>
    <w:rPr>
      <w:sz w:val="28"/>
      <w:szCs w:val="28"/>
    </w:rPr>
  </w:style>
  <w:style w:type="character" w:styleId="ListLabel17">
    <w:name w:val="ListLabel 17"/>
    <w:qFormat/>
    <w:rPr>
      <w:sz w:val="28"/>
      <w:szCs w:val="28"/>
    </w:rPr>
  </w:style>
  <w:style w:type="character" w:styleId="ListLabel18">
    <w:name w:val="ListLabel 18"/>
    <w:qFormat/>
    <w:rPr>
      <w:sz w:val="28"/>
      <w:szCs w:val="28"/>
    </w:rPr>
  </w:style>
  <w:style w:type="character" w:styleId="ListLabel19">
    <w:name w:val="ListLabel 19"/>
    <w:qFormat/>
    <w:rPr>
      <w:sz w:val="28"/>
      <w:szCs w:val="28"/>
    </w:rPr>
  </w:style>
  <w:style w:type="character" w:styleId="ListLabel20">
    <w:name w:val="ListLabel 20"/>
    <w:qFormat/>
    <w:rPr>
      <w:sz w:val="28"/>
      <w:szCs w:val="28"/>
    </w:rPr>
  </w:style>
  <w:style w:type="character" w:styleId="ListLabel21">
    <w:name w:val="ListLabel 21"/>
    <w:qFormat/>
    <w:rPr>
      <w:sz w:val="28"/>
      <w:szCs w:val="28"/>
    </w:rPr>
  </w:style>
  <w:style w:type="character" w:styleId="ListLabel22">
    <w:name w:val="ListLabel 22"/>
    <w:qFormat/>
    <w:rPr>
      <w:sz w:val="28"/>
      <w:szCs w:val="28"/>
    </w:rPr>
  </w:style>
  <w:style w:type="character" w:styleId="ListLabel23">
    <w:name w:val="ListLabel 23"/>
    <w:qFormat/>
    <w:rPr>
      <w:sz w:val="28"/>
      <w:szCs w:val="28"/>
    </w:rPr>
  </w:style>
  <w:style w:type="character" w:styleId="ListLabel24">
    <w:name w:val="ListLabel 24"/>
    <w:qFormat/>
    <w:rPr>
      <w:sz w:val="28"/>
      <w:szCs w:val="28"/>
    </w:rPr>
  </w:style>
  <w:style w:type="character" w:styleId="ListLabel25">
    <w:name w:val="ListLabel 25"/>
    <w:qFormat/>
    <w:rPr>
      <w:sz w:val="28"/>
      <w:szCs w:val="28"/>
    </w:rPr>
  </w:style>
  <w:style w:type="character" w:styleId="ListLabel26">
    <w:name w:val="ListLabel 26"/>
    <w:qFormat/>
    <w:rPr>
      <w:sz w:val="28"/>
      <w:szCs w:val="28"/>
    </w:rPr>
  </w:style>
  <w:style w:type="character" w:styleId="ListLabel27">
    <w:name w:val="ListLabel 27"/>
    <w:qFormat/>
    <w:rPr>
      <w:sz w:val="28"/>
      <w:szCs w:val="28"/>
    </w:rPr>
  </w:style>
  <w:style w:type="character" w:styleId="ListLabel28">
    <w:name w:val="ListLabel 28"/>
    <w:qFormat/>
    <w:rPr>
      <w:sz w:val="28"/>
      <w:szCs w:val="28"/>
    </w:rPr>
  </w:style>
  <w:style w:type="character" w:styleId="ListLabel29">
    <w:name w:val="ListLabel 29"/>
    <w:qFormat/>
    <w:rPr>
      <w:sz w:val="28"/>
      <w:szCs w:val="28"/>
    </w:rPr>
  </w:style>
  <w:style w:type="character" w:styleId="ListLabel30">
    <w:name w:val="ListLabel 30"/>
    <w:qFormat/>
    <w:rPr>
      <w:sz w:val="28"/>
      <w:szCs w:val="28"/>
    </w:rPr>
  </w:style>
  <w:style w:type="character" w:styleId="ListLabel31">
    <w:name w:val="ListLabel 31"/>
    <w:qFormat/>
    <w:rPr>
      <w:sz w:val="28"/>
      <w:szCs w:val="28"/>
    </w:rPr>
  </w:style>
  <w:style w:type="character" w:styleId="ListLabel32">
    <w:name w:val="ListLabel 32"/>
    <w:qFormat/>
    <w:rPr>
      <w:sz w:val="28"/>
      <w:szCs w:val="28"/>
    </w:rPr>
  </w:style>
  <w:style w:type="character" w:styleId="ListLabel33">
    <w:name w:val="ListLabel 33"/>
    <w:qFormat/>
    <w:rPr>
      <w:sz w:val="28"/>
      <w:szCs w:val="28"/>
    </w:rPr>
  </w:style>
  <w:style w:type="character" w:styleId="ListLabel34">
    <w:name w:val="ListLabel 34"/>
    <w:qFormat/>
    <w:rPr>
      <w:sz w:val="28"/>
      <w:szCs w:val="28"/>
    </w:rPr>
  </w:style>
  <w:style w:type="character" w:styleId="ListLabel35">
    <w:name w:val="ListLabel 35"/>
    <w:qFormat/>
    <w:rPr>
      <w:sz w:val="28"/>
      <w:szCs w:val="28"/>
    </w:rPr>
  </w:style>
  <w:style w:type="character" w:styleId="ListLabel36">
    <w:name w:val="ListLabel 36"/>
    <w:qFormat/>
    <w:rPr>
      <w:sz w:val="28"/>
      <w:szCs w:val="28"/>
    </w:rPr>
  </w:style>
  <w:style w:type="character" w:styleId="ListLabel37">
    <w:name w:val="ListLabel 37"/>
    <w:qFormat/>
    <w:rPr>
      <w:sz w:val="28"/>
      <w:szCs w:val="28"/>
    </w:rPr>
  </w:style>
  <w:style w:type="character" w:styleId="ListLabel38">
    <w:name w:val="ListLabel 38"/>
    <w:qFormat/>
    <w:rPr>
      <w:sz w:val="28"/>
      <w:szCs w:val="28"/>
    </w:rPr>
  </w:style>
  <w:style w:type="character" w:styleId="ListLabel39">
    <w:name w:val="ListLabel 39"/>
    <w:qFormat/>
    <w:rPr>
      <w:sz w:val="28"/>
      <w:szCs w:val="28"/>
    </w:rPr>
  </w:style>
  <w:style w:type="character" w:styleId="ListLabel40">
    <w:name w:val="ListLabel 40"/>
    <w:qFormat/>
    <w:rPr>
      <w:sz w:val="28"/>
      <w:szCs w:val="28"/>
    </w:rPr>
  </w:style>
  <w:style w:type="character" w:styleId="ListLabel41">
    <w:name w:val="ListLabel 41"/>
    <w:qFormat/>
    <w:rPr>
      <w:sz w:val="28"/>
      <w:szCs w:val="28"/>
    </w:rPr>
  </w:style>
  <w:style w:type="character" w:styleId="ListLabel42">
    <w:name w:val="ListLabel 42"/>
    <w:qFormat/>
    <w:rPr>
      <w:sz w:val="28"/>
      <w:szCs w:val="28"/>
    </w:rPr>
  </w:style>
  <w:style w:type="character" w:styleId="ListLabel43">
    <w:name w:val="ListLabel 43"/>
    <w:qFormat/>
    <w:rPr>
      <w:sz w:val="28"/>
      <w:szCs w:val="28"/>
    </w:rPr>
  </w:style>
  <w:style w:type="character" w:styleId="ListLabel44">
    <w:name w:val="ListLabel 44"/>
    <w:qFormat/>
    <w:rPr>
      <w:sz w:val="28"/>
      <w:szCs w:val="28"/>
    </w:rPr>
  </w:style>
  <w:style w:type="character" w:styleId="ListLabel45">
    <w:name w:val="ListLabel 45"/>
    <w:qFormat/>
    <w:rPr>
      <w:sz w:val="28"/>
      <w:szCs w:val="28"/>
    </w:rPr>
  </w:style>
  <w:style w:type="character" w:styleId="ListLabel46">
    <w:name w:val="ListLabel 46"/>
    <w:qFormat/>
    <w:rPr>
      <w:sz w:val="28"/>
      <w:szCs w:val="28"/>
    </w:rPr>
  </w:style>
  <w:style w:type="character" w:styleId="ListLabel47">
    <w:name w:val="ListLabel 47"/>
    <w:qFormat/>
    <w:rPr>
      <w:sz w:val="28"/>
      <w:szCs w:val="28"/>
    </w:rPr>
  </w:style>
  <w:style w:type="character" w:styleId="ListLabel48">
    <w:name w:val="ListLabel 48"/>
    <w:qFormat/>
    <w:rPr>
      <w:sz w:val="28"/>
      <w:szCs w:val="28"/>
    </w:rPr>
  </w:style>
  <w:style w:type="character" w:styleId="ListLabel49">
    <w:name w:val="ListLabel 49"/>
    <w:qFormat/>
    <w:rPr>
      <w:sz w:val="28"/>
      <w:szCs w:val="28"/>
    </w:rPr>
  </w:style>
  <w:style w:type="character" w:styleId="ListLabel50">
    <w:name w:val="ListLabel 50"/>
    <w:qFormat/>
    <w:rPr>
      <w:sz w:val="28"/>
      <w:szCs w:val="28"/>
    </w:rPr>
  </w:style>
  <w:style w:type="character" w:styleId="ListLabel51">
    <w:name w:val="ListLabel 51"/>
    <w:qFormat/>
    <w:rPr>
      <w:sz w:val="28"/>
      <w:szCs w:val="28"/>
    </w:rPr>
  </w:style>
  <w:style w:type="character" w:styleId="ListLabel52">
    <w:name w:val="ListLabel 52"/>
    <w:qFormat/>
    <w:rPr>
      <w:sz w:val="28"/>
      <w:szCs w:val="28"/>
    </w:rPr>
  </w:style>
  <w:style w:type="character" w:styleId="ListLabel53">
    <w:name w:val="ListLabel 53"/>
    <w:qFormat/>
    <w:rPr>
      <w:sz w:val="28"/>
      <w:szCs w:val="28"/>
    </w:rPr>
  </w:style>
  <w:style w:type="character" w:styleId="ListLabel54">
    <w:name w:val="ListLabel 54"/>
    <w:qFormat/>
    <w:rPr>
      <w:sz w:val="28"/>
      <w:szCs w:val="28"/>
    </w:rPr>
  </w:style>
  <w:style w:type="character" w:styleId="ListLabel55">
    <w:name w:val="ListLabel 55"/>
    <w:qFormat/>
    <w:rPr>
      <w:sz w:val="28"/>
      <w:szCs w:val="28"/>
    </w:rPr>
  </w:style>
  <w:style w:type="character" w:styleId="ListLabel56">
    <w:name w:val="ListLabel 56"/>
    <w:qFormat/>
    <w:rPr>
      <w:sz w:val="28"/>
      <w:szCs w:val="28"/>
    </w:rPr>
  </w:style>
  <w:style w:type="character" w:styleId="ListLabel57">
    <w:name w:val="ListLabel 57"/>
    <w:qFormat/>
    <w:rPr>
      <w:sz w:val="28"/>
      <w:szCs w:val="28"/>
    </w:rPr>
  </w:style>
  <w:style w:type="character" w:styleId="ListLabel58">
    <w:name w:val="ListLabel 58"/>
    <w:qFormat/>
    <w:rPr>
      <w:sz w:val="28"/>
      <w:szCs w:val="28"/>
    </w:rPr>
  </w:style>
  <w:style w:type="character" w:styleId="ListLabel59">
    <w:name w:val="ListLabel 59"/>
    <w:qFormat/>
    <w:rPr>
      <w:sz w:val="28"/>
      <w:szCs w:val="28"/>
    </w:rPr>
  </w:style>
  <w:style w:type="character" w:styleId="ListLabel60">
    <w:name w:val="ListLabel 60"/>
    <w:qFormat/>
    <w:rPr>
      <w:sz w:val="28"/>
      <w:szCs w:val="28"/>
    </w:rPr>
  </w:style>
  <w:style w:type="character" w:styleId="ListLabel61">
    <w:name w:val="ListLabel 61"/>
    <w:qFormat/>
    <w:rPr>
      <w:sz w:val="28"/>
      <w:szCs w:val="28"/>
    </w:rPr>
  </w:style>
  <w:style w:type="character" w:styleId="ListLabel62">
    <w:name w:val="ListLabel 62"/>
    <w:qFormat/>
    <w:rPr>
      <w:sz w:val="28"/>
      <w:szCs w:val="28"/>
    </w:rPr>
  </w:style>
  <w:style w:type="character" w:styleId="ListLabel63">
    <w:name w:val="ListLabel 63"/>
    <w:qFormat/>
    <w:rPr>
      <w:sz w:val="28"/>
      <w:szCs w:val="28"/>
    </w:rPr>
  </w:style>
  <w:style w:type="character" w:styleId="ListLabel64">
    <w:name w:val="ListLabel 64"/>
    <w:qFormat/>
    <w:rPr>
      <w:sz w:val="28"/>
      <w:szCs w:val="28"/>
    </w:rPr>
  </w:style>
  <w:style w:type="character" w:styleId="ListLabel65">
    <w:name w:val="ListLabel 65"/>
    <w:qFormat/>
    <w:rPr>
      <w:sz w:val="28"/>
      <w:szCs w:val="28"/>
    </w:rPr>
  </w:style>
  <w:style w:type="character" w:styleId="ListLabel66">
    <w:name w:val="ListLabel 66"/>
    <w:qFormat/>
    <w:rPr>
      <w:sz w:val="28"/>
      <w:szCs w:val="28"/>
    </w:rPr>
  </w:style>
  <w:style w:type="character" w:styleId="ListLabel67">
    <w:name w:val="ListLabel 67"/>
    <w:qFormat/>
    <w:rPr>
      <w:sz w:val="28"/>
      <w:szCs w:val="28"/>
    </w:rPr>
  </w:style>
  <w:style w:type="character" w:styleId="ListLabel68">
    <w:name w:val="ListLabel 68"/>
    <w:qFormat/>
    <w:rPr>
      <w:sz w:val="28"/>
      <w:szCs w:val="28"/>
    </w:rPr>
  </w:style>
  <w:style w:type="character" w:styleId="ListLabel69">
    <w:name w:val="ListLabel 69"/>
    <w:qFormat/>
    <w:rPr>
      <w:sz w:val="28"/>
      <w:szCs w:val="28"/>
    </w:rPr>
  </w:style>
  <w:style w:type="character" w:styleId="ListLabel70">
    <w:name w:val="ListLabel 70"/>
    <w:qFormat/>
    <w:rPr>
      <w:sz w:val="28"/>
      <w:szCs w:val="28"/>
    </w:rPr>
  </w:style>
  <w:style w:type="character" w:styleId="ListLabel71">
    <w:name w:val="ListLabel 71"/>
    <w:qFormat/>
    <w:rPr>
      <w:sz w:val="28"/>
      <w:szCs w:val="28"/>
    </w:rPr>
  </w:style>
  <w:style w:type="character" w:styleId="ListLabel72">
    <w:name w:val="ListLabel 72"/>
    <w:qFormat/>
    <w:rPr>
      <w:sz w:val="28"/>
      <w:szCs w:val="28"/>
    </w:rPr>
  </w:style>
  <w:style w:type="character" w:styleId="ListLabel73">
    <w:name w:val="ListLabel 73"/>
    <w:qFormat/>
    <w:rPr>
      <w:sz w:val="28"/>
      <w:szCs w:val="28"/>
    </w:rPr>
  </w:style>
  <w:style w:type="character" w:styleId="ListLabel74">
    <w:name w:val="ListLabel 74"/>
    <w:qFormat/>
    <w:rPr>
      <w:sz w:val="28"/>
      <w:szCs w:val="28"/>
    </w:rPr>
  </w:style>
  <w:style w:type="character" w:styleId="ListLabel75">
    <w:name w:val="ListLabel 75"/>
    <w:qFormat/>
    <w:rPr>
      <w:sz w:val="28"/>
      <w:szCs w:val="28"/>
    </w:rPr>
  </w:style>
  <w:style w:type="character" w:styleId="ListLabel76">
    <w:name w:val="ListLabel 76"/>
    <w:qFormat/>
    <w:rPr>
      <w:sz w:val="28"/>
      <w:szCs w:val="28"/>
    </w:rPr>
  </w:style>
  <w:style w:type="character" w:styleId="ListLabel77">
    <w:name w:val="ListLabel 77"/>
    <w:qFormat/>
    <w:rPr>
      <w:sz w:val="28"/>
      <w:szCs w:val="28"/>
    </w:rPr>
  </w:style>
  <w:style w:type="character" w:styleId="ListLabel78">
    <w:name w:val="ListLabel 78"/>
    <w:qFormat/>
    <w:rPr>
      <w:sz w:val="28"/>
      <w:szCs w:val="28"/>
    </w:rPr>
  </w:style>
  <w:style w:type="character" w:styleId="ListLabel79">
    <w:name w:val="ListLabel 79"/>
    <w:qFormat/>
    <w:rPr>
      <w:sz w:val="28"/>
      <w:szCs w:val="28"/>
    </w:rPr>
  </w:style>
  <w:style w:type="character" w:styleId="ListLabel80">
    <w:name w:val="ListLabel 80"/>
    <w:qFormat/>
    <w:rPr>
      <w:sz w:val="28"/>
      <w:szCs w:val="28"/>
    </w:rPr>
  </w:style>
  <w:style w:type="character" w:styleId="ListLabel81">
    <w:name w:val="ListLabel 81"/>
    <w:qFormat/>
    <w:rPr>
      <w:sz w:val="28"/>
      <w:szCs w:val="28"/>
    </w:rPr>
  </w:style>
  <w:style w:type="character" w:styleId="ListLabel82">
    <w:name w:val="ListLabel 82"/>
    <w:qFormat/>
    <w:rPr>
      <w:sz w:val="28"/>
      <w:szCs w:val="28"/>
    </w:rPr>
  </w:style>
  <w:style w:type="character" w:styleId="ListLabel83">
    <w:name w:val="ListLabel 83"/>
    <w:qFormat/>
    <w:rPr>
      <w:sz w:val="28"/>
      <w:szCs w:val="28"/>
    </w:rPr>
  </w:style>
  <w:style w:type="character" w:styleId="ListLabel84">
    <w:name w:val="ListLabel 84"/>
    <w:qFormat/>
    <w:rPr>
      <w:sz w:val="28"/>
      <w:szCs w:val="28"/>
    </w:rPr>
  </w:style>
  <w:style w:type="character" w:styleId="ListLabel85">
    <w:name w:val="ListLabel 85"/>
    <w:qFormat/>
    <w:rPr>
      <w:sz w:val="28"/>
      <w:szCs w:val="28"/>
    </w:rPr>
  </w:style>
  <w:style w:type="character" w:styleId="ListLabel86">
    <w:name w:val="ListLabel 86"/>
    <w:qFormat/>
    <w:rPr>
      <w:sz w:val="28"/>
      <w:szCs w:val="28"/>
    </w:rPr>
  </w:style>
  <w:style w:type="character" w:styleId="ListLabel87">
    <w:name w:val="ListLabel 87"/>
    <w:qFormat/>
    <w:rPr>
      <w:sz w:val="28"/>
      <w:szCs w:val="28"/>
    </w:rPr>
  </w:style>
  <w:style w:type="character" w:styleId="ListLabel88">
    <w:name w:val="ListLabel 88"/>
    <w:qFormat/>
    <w:rPr>
      <w:sz w:val="28"/>
      <w:szCs w:val="28"/>
    </w:rPr>
  </w:style>
  <w:style w:type="character" w:styleId="ListLabel89">
    <w:name w:val="ListLabel 89"/>
    <w:qFormat/>
    <w:rPr>
      <w:sz w:val="28"/>
      <w:szCs w:val="28"/>
    </w:rPr>
  </w:style>
  <w:style w:type="character" w:styleId="ListLabel90">
    <w:name w:val="ListLabel 90"/>
    <w:qFormat/>
    <w:rPr>
      <w:sz w:val="28"/>
      <w:szCs w:val="28"/>
    </w:rPr>
  </w:style>
  <w:style w:type="character" w:styleId="ListLabel91">
    <w:name w:val="ListLabel 91"/>
    <w:qFormat/>
    <w:rPr>
      <w:sz w:val="28"/>
      <w:szCs w:val="28"/>
    </w:rPr>
  </w:style>
  <w:style w:type="character" w:styleId="ListLabel92">
    <w:name w:val="ListLabel 92"/>
    <w:qFormat/>
    <w:rPr>
      <w:sz w:val="28"/>
      <w:szCs w:val="28"/>
    </w:rPr>
  </w:style>
  <w:style w:type="character" w:styleId="ListLabel93">
    <w:name w:val="ListLabel 93"/>
    <w:qFormat/>
    <w:rPr>
      <w:sz w:val="28"/>
      <w:szCs w:val="28"/>
    </w:rPr>
  </w:style>
  <w:style w:type="character" w:styleId="ListLabel94">
    <w:name w:val="ListLabel 94"/>
    <w:qFormat/>
    <w:rPr>
      <w:sz w:val="28"/>
      <w:szCs w:val="28"/>
    </w:rPr>
  </w:style>
  <w:style w:type="character" w:styleId="ListLabel95">
    <w:name w:val="ListLabel 95"/>
    <w:qFormat/>
    <w:rPr>
      <w:sz w:val="28"/>
      <w:szCs w:val="28"/>
    </w:rPr>
  </w:style>
  <w:style w:type="character" w:styleId="ListLabel96">
    <w:name w:val="ListLabel 96"/>
    <w:qFormat/>
    <w:rPr>
      <w:sz w:val="28"/>
      <w:szCs w:val="28"/>
    </w:rPr>
  </w:style>
  <w:style w:type="character" w:styleId="ListLabel97">
    <w:name w:val="ListLabel 97"/>
    <w:qFormat/>
    <w:rPr>
      <w:sz w:val="28"/>
      <w:szCs w:val="28"/>
    </w:rPr>
  </w:style>
  <w:style w:type="character" w:styleId="ListLabel98">
    <w:name w:val="ListLabel 98"/>
    <w:qFormat/>
    <w:rPr>
      <w:sz w:val="28"/>
      <w:szCs w:val="28"/>
    </w:rPr>
  </w:style>
  <w:style w:type="character" w:styleId="ListLabel99">
    <w:name w:val="ListLabel 99"/>
    <w:qFormat/>
    <w:rPr>
      <w:sz w:val="28"/>
      <w:szCs w:val="28"/>
    </w:rPr>
  </w:style>
  <w:style w:type="character" w:styleId="ListLabel100">
    <w:name w:val="ListLabel 100"/>
    <w:qFormat/>
    <w:rPr>
      <w:sz w:val="28"/>
      <w:szCs w:val="28"/>
    </w:rPr>
  </w:style>
  <w:style w:type="character" w:styleId="ListLabel101">
    <w:name w:val="ListLabel 101"/>
    <w:qFormat/>
    <w:rPr>
      <w:sz w:val="28"/>
      <w:szCs w:val="28"/>
    </w:rPr>
  </w:style>
  <w:style w:type="character" w:styleId="ListLabel102">
    <w:name w:val="ListLabel 102"/>
    <w:qFormat/>
    <w:rPr>
      <w:sz w:val="28"/>
      <w:szCs w:val="28"/>
    </w:rPr>
  </w:style>
  <w:style w:type="character" w:styleId="ListLabel103">
    <w:name w:val="ListLabel 103"/>
    <w:qFormat/>
    <w:rPr>
      <w:sz w:val="28"/>
      <w:szCs w:val="28"/>
    </w:rPr>
  </w:style>
  <w:style w:type="character" w:styleId="ListLabel104">
    <w:name w:val="ListLabel 104"/>
    <w:qFormat/>
    <w:rPr>
      <w:sz w:val="28"/>
      <w:szCs w:val="28"/>
    </w:rPr>
  </w:style>
  <w:style w:type="character" w:styleId="ListLabel105">
    <w:name w:val="ListLabel 105"/>
    <w:qFormat/>
    <w:rPr>
      <w:sz w:val="28"/>
      <w:szCs w:val="28"/>
    </w:rPr>
  </w:style>
  <w:style w:type="character" w:styleId="ListLabel106">
    <w:name w:val="ListLabel 106"/>
    <w:qFormat/>
    <w:rPr>
      <w:sz w:val="28"/>
      <w:szCs w:val="28"/>
    </w:rPr>
  </w:style>
  <w:style w:type="character" w:styleId="ListLabel107">
    <w:name w:val="ListLabel 107"/>
    <w:qFormat/>
    <w:rPr>
      <w:sz w:val="28"/>
      <w:szCs w:val="28"/>
    </w:rPr>
  </w:style>
  <w:style w:type="character" w:styleId="ListLabel108">
    <w:name w:val="ListLabel 108"/>
    <w:qFormat/>
    <w:rPr>
      <w:sz w:val="28"/>
      <w:szCs w:val="28"/>
    </w:rPr>
  </w:style>
  <w:style w:type="character" w:styleId="ListLabel109">
    <w:name w:val="ListLabel 109"/>
    <w:qFormat/>
    <w:rPr>
      <w:sz w:val="28"/>
      <w:szCs w:val="28"/>
    </w:rPr>
  </w:style>
  <w:style w:type="character" w:styleId="ListLabel110">
    <w:name w:val="ListLabel 110"/>
    <w:qFormat/>
    <w:rPr>
      <w:sz w:val="28"/>
      <w:szCs w:val="28"/>
    </w:rPr>
  </w:style>
  <w:style w:type="character" w:styleId="ListLabel111">
    <w:name w:val="ListLabel 111"/>
    <w:qFormat/>
    <w:rPr>
      <w:sz w:val="28"/>
      <w:szCs w:val="28"/>
    </w:rPr>
  </w:style>
  <w:style w:type="character" w:styleId="ListLabel112">
    <w:name w:val="ListLabel 112"/>
    <w:qFormat/>
    <w:rPr>
      <w:sz w:val="28"/>
      <w:szCs w:val="28"/>
    </w:rPr>
  </w:style>
  <w:style w:type="character" w:styleId="ListLabel113">
    <w:name w:val="ListLabel 113"/>
    <w:qFormat/>
    <w:rPr>
      <w:sz w:val="28"/>
      <w:szCs w:val="28"/>
    </w:rPr>
  </w:style>
  <w:style w:type="character" w:styleId="ListLabel114">
    <w:name w:val="ListLabel 114"/>
    <w:qFormat/>
    <w:rPr>
      <w:sz w:val="28"/>
      <w:szCs w:val="28"/>
    </w:rPr>
  </w:style>
  <w:style w:type="character" w:styleId="ListLabel115">
    <w:name w:val="ListLabel 115"/>
    <w:qFormat/>
    <w:rPr>
      <w:sz w:val="28"/>
      <w:szCs w:val="28"/>
    </w:rPr>
  </w:style>
  <w:style w:type="character" w:styleId="ListLabel116">
    <w:name w:val="ListLabel 116"/>
    <w:qFormat/>
    <w:rPr>
      <w:sz w:val="28"/>
      <w:szCs w:val="28"/>
    </w:rPr>
  </w:style>
  <w:style w:type="character" w:styleId="ListLabel117">
    <w:name w:val="ListLabel 117"/>
    <w:qFormat/>
    <w:rPr>
      <w:sz w:val="28"/>
      <w:szCs w:val="28"/>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tyle20" w:customStyle="1">
    <w:name w:val="Покажчик"/>
    <w:basedOn w:val="Normal"/>
    <w:qFormat/>
    <w:rsid w:val="008f3b95"/>
    <w:pPr>
      <w:suppressLineNumbers/>
      <w:spacing w:lineRule="auto" w:line="240" w:before="0" w:after="0"/>
    </w:pPr>
    <w:rPr>
      <w:rFonts w:ascii="Times New Roman" w:hAnsi="Times New Roman" w:eastAsia="Times New Roman" w:cs="Arial"/>
      <w:sz w:val="24"/>
      <w:szCs w:val="24"/>
      <w:lang w:val="ru-RU"/>
    </w:rPr>
  </w:style>
  <w:style w:type="paragraph" w:styleId="Caption">
    <w:name w:val="caption"/>
    <w:basedOn w:val="Normal"/>
    <w:qFormat/>
    <w:pPr>
      <w:suppressLineNumbers/>
      <w:spacing w:before="120" w:after="120"/>
    </w:pPr>
    <w:rPr>
      <w:rFonts w:cs="Arial"/>
      <w:i/>
      <w:iCs/>
      <w:sz w:val="24"/>
      <w:szCs w:val="24"/>
    </w:rPr>
  </w:style>
  <w:style w:type="paragraph" w:styleId="11" w:customStyle="1">
    <w:name w:val="Указатель1"/>
    <w:basedOn w:val="Normal"/>
    <w:qFormat/>
    <w:pPr>
      <w:suppressLineNumbers/>
    </w:pPr>
    <w:rPr>
      <w:rFonts w:cs="Arial"/>
    </w:rPr>
  </w:style>
  <w:style w:type="paragraph" w:styleId="21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Zakonu1" w:customStyle="1">
    <w:name w:val="StyleZakonu"/>
    <w:basedOn w:val="Normal"/>
    <w:qFormat/>
    <w:rsid w:val="001429f2"/>
    <w:pPr>
      <w:spacing w:lineRule="exact" w:line="220" w:before="0" w:after="60"/>
      <w:ind w:firstLine="284"/>
      <w:jc w:val="both"/>
    </w:pPr>
    <w:rPr>
      <w:rFonts w:ascii="Times New Roman" w:hAnsi="Times New Roman" w:eastAsia="Times New Roman"/>
      <w:sz w:val="20"/>
      <w:szCs w:val="20"/>
    </w:rPr>
  </w:style>
  <w:style w:type="paragraph" w:styleId="12" w:customStyle="1">
    <w:name w:val="Название объекта1"/>
    <w:basedOn w:val="Normal"/>
    <w:qFormat/>
    <w:rsid w:val="008f3b95"/>
    <w:pPr>
      <w:spacing w:lineRule="auto" w:line="240" w:before="0" w:after="0"/>
      <w:jc w:val="center"/>
    </w:pPr>
    <w:rPr>
      <w:rFonts w:ascii="Times New Roman" w:hAnsi="Times New Roman" w:eastAsia="Times New Roman"/>
      <w:b/>
      <w:sz w:val="24"/>
      <w:szCs w:val="20"/>
    </w:rPr>
  </w:style>
  <w:style w:type="paragraph" w:styleId="BalloonText">
    <w:name w:val="Balloon Text"/>
    <w:basedOn w:val="Normal"/>
    <w:link w:val="aa"/>
    <w:qFormat/>
    <w:rsid w:val="008f3b95"/>
    <w:pPr>
      <w:spacing w:lineRule="auto" w:line="240" w:before="0" w:after="0"/>
    </w:pPr>
    <w:rPr>
      <w:rFonts w:ascii="Tahoma" w:hAnsi="Tahoma" w:eastAsia="Times New Roman" w:cs="Tahoma"/>
      <w:sz w:val="16"/>
      <w:szCs w:val="16"/>
      <w:lang w:val="ru-RU"/>
    </w:rPr>
  </w:style>
  <w:style w:type="paragraph" w:styleId="CharChar" w:customStyle="1">
    <w:name w:val="Char Знак Знак Char Знак Знак Знак Знак Знак Знак Знак Знак Знак Знак Знак Знак 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1" w:customStyle="1">
    <w:name w:val="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2" w:customStyle="1">
    <w:name w:val="Знак 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3" w:customStyle="1">
    <w:name w:val="Знак Знак Знак Знак"/>
    <w:basedOn w:val="Normal"/>
    <w:qFormat/>
    <w:rsid w:val="008f3b95"/>
    <w:pPr>
      <w:spacing w:lineRule="auto" w:line="240" w:before="0" w:after="0"/>
    </w:pPr>
    <w:rPr>
      <w:rFonts w:ascii="Verdana" w:hAnsi="Verdana" w:eastAsia="Times New Roman" w:cs="Verdana"/>
      <w:sz w:val="20"/>
      <w:szCs w:val="20"/>
      <w:lang w:val="en-US" w:eastAsia="ru-RU"/>
    </w:rPr>
  </w:style>
  <w:style w:type="paragraph" w:styleId="13" w:customStyle="1">
    <w:name w:val="1"/>
    <w:basedOn w:val="Normal"/>
    <w:qFormat/>
    <w:rsid w:val="008f3b95"/>
    <w:pPr>
      <w:spacing w:lineRule="auto" w:line="240" w:before="0" w:after="0"/>
    </w:pPr>
    <w:rPr>
      <w:rFonts w:ascii="Verdana" w:hAnsi="Verdana" w:eastAsia="Times New Roman" w:cs="Verdana"/>
      <w:sz w:val="20"/>
      <w:szCs w:val="20"/>
      <w:lang w:val="en-US"/>
    </w:rPr>
  </w:style>
  <w:style w:type="paragraph" w:styleId="Style24" w:customStyle="1">
    <w:name w:val="Нормальний текст"/>
    <w:basedOn w:val="Normal"/>
    <w:qFormat/>
    <w:rsid w:val="008f3b95"/>
    <w:pPr>
      <w:spacing w:lineRule="auto" w:line="240" w:before="120" w:after="0"/>
      <w:ind w:firstLine="567"/>
    </w:pPr>
    <w:rPr>
      <w:rFonts w:ascii="Antiqua" w:hAnsi="Antiqua" w:eastAsia="Times New Roman" w:cs="Antiqua"/>
      <w:sz w:val="26"/>
      <w:szCs w:val="20"/>
    </w:rPr>
  </w:style>
  <w:style w:type="paragraph" w:styleId="Style25" w:customStyle="1">
    <w:name w:val="Назва документа"/>
    <w:basedOn w:val="Normal"/>
    <w:qFormat/>
    <w:rsid w:val="008f3b95"/>
    <w:pPr>
      <w:keepNext w:val="true"/>
      <w:keepLines/>
      <w:spacing w:lineRule="auto" w:line="240" w:before="240" w:after="240"/>
      <w:jc w:val="center"/>
    </w:pPr>
    <w:rPr>
      <w:rFonts w:ascii="Antiqua" w:hAnsi="Antiqua" w:eastAsia="Times New Roman" w:cs="Antiqua"/>
      <w:b/>
      <w:sz w:val="26"/>
      <w:szCs w:val="20"/>
    </w:rPr>
  </w:style>
  <w:style w:type="paragraph" w:styleId="22" w:customStyle="1">
    <w:name w:val="2"/>
    <w:basedOn w:val="Normal"/>
    <w:qFormat/>
    <w:rsid w:val="008f3b95"/>
    <w:pPr>
      <w:spacing w:lineRule="auto" w:line="240" w:before="0" w:after="0"/>
    </w:pPr>
    <w:rPr>
      <w:rFonts w:ascii="Verdana" w:hAnsi="Verdana" w:eastAsia="Times New Roman" w:cs="Verdana"/>
      <w:sz w:val="20"/>
      <w:szCs w:val="20"/>
      <w:lang w:val="en-US"/>
    </w:rPr>
  </w:style>
  <w:style w:type="paragraph" w:styleId="Style26" w:customStyle="1">
    <w:name w:val="Вміст таблиці"/>
    <w:basedOn w:val="Normal"/>
    <w:qFormat/>
    <w:rsid w:val="008f3b95"/>
    <w:pPr>
      <w:suppressLineNumbers/>
      <w:spacing w:lineRule="auto" w:line="240" w:before="0" w:after="0"/>
    </w:pPr>
    <w:rPr>
      <w:rFonts w:ascii="Times New Roman" w:hAnsi="Times New Roman" w:eastAsia="Times New Roman"/>
      <w:sz w:val="24"/>
      <w:szCs w:val="24"/>
      <w:lang w:val="ru-RU"/>
    </w:rPr>
  </w:style>
  <w:style w:type="paragraph" w:styleId="Style27" w:customStyle="1">
    <w:name w:val="Заголовок таблиці"/>
    <w:basedOn w:val="Style26"/>
    <w:qFormat/>
    <w:rsid w:val="008f3b95"/>
    <w:pPr>
      <w:jc w:val="center"/>
    </w:pPr>
    <w:rPr>
      <w:b/>
      <w:bCs/>
    </w:rPr>
  </w:style>
  <w:style w:type="paragraph" w:styleId="Style28">
    <w:name w:val="Содержимое таблицы"/>
    <w:basedOn w:val="Normal"/>
    <w:qFormat/>
    <w:pPr>
      <w:suppressLineNumbers/>
    </w:pPr>
    <w:rPr/>
  </w:style>
  <w:style w:type="paragraph" w:styleId="Style29">
    <w:name w:val="Заголовок таблицы"/>
    <w:basedOn w:val="Style28"/>
    <w:qFormat/>
    <w:pPr>
      <w:suppressLineNumbers/>
      <w:jc w:val="center"/>
    </w:pPr>
    <w:rPr>
      <w:b/>
      <w:bCs/>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13F1A-808C-47D0-99A9-3E2A1C99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Template>
  <TotalTime>241</TotalTime>
  <Application>LibreOffice/6.2.5.2$Linux_X86_64 LibreOffice_project/20$Build-2</Application>
  <Pages>9</Pages>
  <Words>2335</Words>
  <Characters>13538</Characters>
  <CharactersWithSpaces>15150</CharactersWithSpaces>
  <Paragraphs>1124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2019-02-25T13:42:00Z</dcterms:created>
  <dc:creator>Наталия Л</dc:creator>
  <dc:description/>
  <dc:language>ru-RU</dc:language>
  <cp:lastModifiedBy/>
  <dcterms:modified xsi:type="dcterms:W3CDTF">2019-06-03T09:16:53Z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