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Інформаційне повідомлення </w:t>
      </w:r>
    </w:p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</w:rPr>
        <w:t>“</w:t>
      </w:r>
      <w:r>
        <w:rPr>
          <w:b/>
          <w:color w:val="000000"/>
          <w:sz w:val="22"/>
          <w:szCs w:val="22"/>
        </w:rPr>
        <w:t xml:space="preserve">Установка водопідготовча автоматизована “ВПУ-4” (інвентарний номер 10420007)» 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Інформація про об’єкт приватизації: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 xml:space="preserve">Найменування об’єкта приватизації: “Установка водопідготовча автоматизована “ВПУ-4” (інвентарний номер 10420007)» </w:t>
      </w:r>
      <w:r>
        <w:rPr>
          <w:b w:val="false"/>
          <w:bCs w:val="fals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(далі – об’єкт приватизації).</w:t>
      </w:r>
    </w:p>
    <w:p>
      <w:pPr>
        <w:pStyle w:val="Normal"/>
        <w:shd w:val="clear" w:color="auto" w:fill="FFFFFF"/>
        <w:jc w:val="both"/>
        <w:rPr/>
      </w:pPr>
      <w:r>
        <w:rPr>
          <w:b/>
          <w:color w:val="000000"/>
          <w:sz w:val="22"/>
          <w:szCs w:val="22"/>
        </w:rPr>
        <w:t xml:space="preserve">Місцезнаходження об’єкта: </w:t>
      </w:r>
      <w:r>
        <w:rPr>
          <w:color w:val="000000"/>
          <w:sz w:val="22"/>
          <w:szCs w:val="22"/>
        </w:rPr>
        <w:t>Дніпропетровська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область, місто Покров, вулиця Чайкіної Лізи, будинок 25а.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2"/>
          <w:szCs w:val="22"/>
        </w:rPr>
        <w:t xml:space="preserve">Установка водопідготовча автоматизована “ВПУ-4" призначена для обробки підживлювальної води в пересувних і стаціонарних водогрійних опалювальних котелень продуктивністю до 16 МВт. Рік виготовлення — 2004. Технічний стан об'єкту: частково розукомплектований. </w:t>
      </w:r>
    </w:p>
    <w:p>
      <w:pPr>
        <w:pStyle w:val="Normal"/>
        <w:jc w:val="both"/>
        <w:rPr/>
      </w:pPr>
      <w:bookmarkStart w:id="0" w:name="__DdeLink__1048_225032694"/>
      <w:bookmarkEnd w:id="0"/>
      <w:r>
        <w:rPr>
          <w:b/>
          <w:bCs/>
          <w:color w:val="000000"/>
          <w:sz w:val="22"/>
          <w:szCs w:val="22"/>
        </w:rPr>
        <w:t>Інформація про договори оренди об’єкта або його частини:</w:t>
      </w:r>
      <w:r>
        <w:rPr>
          <w:color w:val="000000"/>
          <w:sz w:val="22"/>
          <w:szCs w:val="22"/>
        </w:rPr>
        <w:t xml:space="preserve"> договори оренди відсутні.</w:t>
      </w:r>
    </w:p>
    <w:p>
      <w:pPr>
        <w:pStyle w:val="Normal"/>
        <w:jc w:val="both"/>
        <w:rPr/>
      </w:pPr>
      <w:r>
        <w:rPr>
          <w:b/>
          <w:bCs/>
          <w:color w:val="000000"/>
          <w:sz w:val="22"/>
          <w:szCs w:val="22"/>
        </w:rPr>
        <w:t>Інформація про балансоутримувача</w:t>
      </w:r>
      <w:r>
        <w:rPr>
          <w:color w:val="000000"/>
          <w:sz w:val="22"/>
          <w:szCs w:val="22"/>
        </w:rPr>
        <w:t xml:space="preserve"> (найменування, його місцезнаходження і контактні дані): Управління житлово-комунального господарства та будівництва виконавчого комітету Покровської міської ради, </w:t>
      </w:r>
      <w:r>
        <w:rPr>
          <w:b/>
          <w:bCs/>
          <w:color w:val="000000"/>
          <w:sz w:val="22"/>
          <w:szCs w:val="22"/>
        </w:rPr>
        <w:t>код</w:t>
      </w:r>
      <w:r>
        <w:rPr>
          <w:color w:val="000000"/>
          <w:sz w:val="22"/>
          <w:szCs w:val="22"/>
        </w:rPr>
        <w:t xml:space="preserve"> за ЄДРП</w:t>
      </w:r>
      <w:r>
        <w:rPr>
          <w:color w:val="000000"/>
          <w:sz w:val="22"/>
          <w:szCs w:val="22"/>
        </w:rPr>
        <w:t xml:space="preserve">ОУ 34611037; 53300, Дніпропетровська область, місто Покров, вул. Центральна, 48; тел. +380566744843, e-mail: uzkh@pokrov-mr.gov.ua 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2. Інформація про аукціон: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 xml:space="preserve">Спосіб проведення аукціону: </w:t>
      </w:r>
      <w:r>
        <w:rPr>
          <w:color w:val="000000"/>
          <w:sz w:val="22"/>
          <w:szCs w:val="22"/>
        </w:rPr>
        <w:t xml:space="preserve">аукціон без умов. 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Дата та час проведення аукціону: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31</w:t>
      </w:r>
      <w:r>
        <w:rPr>
          <w:b/>
          <w:bCs/>
          <w:color w:val="000000"/>
          <w:sz w:val="22"/>
          <w:szCs w:val="22"/>
        </w:rPr>
        <w:t xml:space="preserve"> березня</w:t>
      </w:r>
      <w:r>
        <w:rPr>
          <w:b/>
          <w:sz w:val="22"/>
          <w:szCs w:val="22"/>
        </w:rPr>
        <w:t xml:space="preserve"> 2020 року</w:t>
      </w:r>
      <w:r>
        <w:rPr>
          <w:sz w:val="22"/>
          <w:szCs w:val="22"/>
        </w:rPr>
        <w:t xml:space="preserve">, час проведення визначається електронною торговою системою автоматично.          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>
      <w:pPr>
        <w:pStyle w:val="Normal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- аукціону без умов – 18 451,00 грн.;</w:t>
        <w:tab/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- аукціону із зниженням стартової ціни -  9 225,50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9 225,50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Розмір гарантійного внеску електронного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- аукціону без умов – 1 845,10 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- аукціону із зниженням стартової ціни – 922,55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922,55 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Розмір реєстраційного  внеску становить 0,2 мінімальної заробітної плати станом на 1 січня поточного року</w:t>
      </w:r>
      <w:r>
        <w:rPr>
          <w:b/>
          <w:bCs/>
          <w:color w:val="000000"/>
          <w:sz w:val="22"/>
          <w:szCs w:val="22"/>
        </w:rPr>
        <w:t xml:space="preserve"> (</w:t>
      </w:r>
      <w:r>
        <w:rPr>
          <w:b/>
          <w:bCs/>
          <w:color w:val="000000"/>
          <w:sz w:val="22"/>
          <w:szCs w:val="22"/>
        </w:rPr>
        <w:t>944,60</w:t>
      </w:r>
      <w:r>
        <w:rPr>
          <w:b/>
          <w:bCs/>
          <w:color w:val="000000"/>
          <w:sz w:val="22"/>
          <w:szCs w:val="22"/>
        </w:rPr>
        <w:t xml:space="preserve"> грн.)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4. Додаткова інформація: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Оператор електронного майданчика перераховує на казначейський рахунок                                                   № UA978201720355209001000028931, одержувач: Виконавчий комітет Покровської міської ради Дніпропетровської області, банк одержувача: Держказначейська служба України, м.Київ,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>
      <w:pPr>
        <w:pStyle w:val="Normal"/>
        <w:widowControl w:val="false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Оператор електронного майданчика перераховує на казначейський №</w:t>
      </w:r>
      <w:bookmarkStart w:id="1" w:name="__DdeLink__354_3379478038"/>
      <w:r>
        <w:rPr>
          <w:sz w:val="22"/>
          <w:szCs w:val="22"/>
        </w:rPr>
        <w:t>UA978201720355209001000028931</w:t>
      </w:r>
      <w:bookmarkEnd w:id="1"/>
      <w:r>
        <w:rPr>
          <w:sz w:val="22"/>
          <w:szCs w:val="22"/>
        </w:rPr>
        <w:t>, одержувач:  Виконавчий комітет Покровської міської ради Дніпропетровської області, банк одержувача: Держказначейська служба України, м.Київ,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ab/>
      </w:r>
    </w:p>
    <w:p>
      <w:pPr>
        <w:pStyle w:val="Normal"/>
        <w:widowControl w:val="false"/>
        <w:jc w:val="both"/>
        <w:rPr/>
      </w:pPr>
      <w:r>
        <w:rPr>
          <w:b/>
          <w:bCs/>
          <w:sz w:val="22"/>
          <w:szCs w:val="22"/>
        </w:rPr>
        <w:t>Банківські реквізити, на які переможець аукціону перераховує кошти за придбаний об’єкт:</w:t>
      </w:r>
      <w:r>
        <w:rPr>
          <w:sz w:val="22"/>
          <w:szCs w:val="22"/>
        </w:rPr>
        <w:t xml:space="preserve"> казначейський рахунок №UA978201720355209001000028931, одержувач: Виконавчий комітет Покровської міської ради Дніпропетровської області, банк одержувача: Держказначейська служба України, м.Київ, код ЄДРПОУ 04052212.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>
        <w:rPr>
          <w:color w:val="000000"/>
          <w:sz w:val="22"/>
          <w:szCs w:val="22"/>
        </w:rPr>
        <w:t xml:space="preserve">розміщені на сайті: </w:t>
      </w:r>
      <w:hyperlink r:id="rId2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у робочі дні з 8.00 до 17.00, п’ятниця – з 8.00 до 16.00, обідня перерва з 12.00 до 12.45 за місцезнаходженням:  53300,  вул. Титова, 1а, м. Покров, Дніпропетровська обл., Україна.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Організатор аукціону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>
        <w:rPr>
          <w:bCs/>
          <w:sz w:val="22"/>
          <w:szCs w:val="22"/>
        </w:rPr>
        <w:t xml:space="preserve"> область, місто Покров, вулиця Центральна, 48; </w:t>
      </w:r>
      <w:r>
        <w:rPr>
          <w:color w:val="000000"/>
          <w:sz w:val="22"/>
          <w:szCs w:val="22"/>
        </w:rPr>
        <w:t>адреса веб-сайту:</w:t>
      </w:r>
      <w:r>
        <w:rPr>
          <w:sz w:val="22"/>
          <w:szCs w:val="22"/>
        </w:rPr>
        <w:t xml:space="preserve"> </w:t>
      </w:r>
      <w:hyperlink r:id="rId3">
        <w:r>
          <w:rPr>
            <w:rStyle w:val="Style8"/>
            <w:sz w:val="22"/>
            <w:szCs w:val="22"/>
          </w:rPr>
          <w:t>https://pkrv.dp.gov.ua/</w:t>
        </w:r>
      </w:hyperlink>
      <w:r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r>
        <w:rPr>
          <w:sz w:val="22"/>
          <w:szCs w:val="22"/>
          <w:shd w:fill="FFFFFF" w:val="clear"/>
        </w:rPr>
        <w:t xml:space="preserve">Сідашова Тетяна Вікторівна, тел. </w:t>
      </w:r>
      <w:r>
        <w:rPr>
          <w:color w:val="000000"/>
          <w:spacing w:val="-1"/>
          <w:sz w:val="22"/>
          <w:szCs w:val="22"/>
        </w:rPr>
        <w:t xml:space="preserve">+380985035503; </w:t>
      </w:r>
      <w:r>
        <w:rPr>
          <w:color w:val="000000"/>
          <w:sz w:val="22"/>
          <w:szCs w:val="22"/>
        </w:rPr>
        <w:t xml:space="preserve">e-mail: </w:t>
      </w:r>
      <w:hyperlink r:id="rId4">
        <w:r>
          <w:rPr>
            <w:rStyle w:val="Style8"/>
            <w:sz w:val="22"/>
            <w:szCs w:val="22"/>
          </w:rPr>
          <w:t>economica@pokrov-mr.gov.ua</w:t>
        </w:r>
      </w:hyperlink>
    </w:p>
    <w:p>
      <w:pPr>
        <w:pStyle w:val="Normal"/>
        <w:jc w:val="both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10.12.2019  р. № 501 «</w:t>
      </w:r>
      <w:bookmarkStart w:id="2" w:name="__DdeLink__1205_1757091438"/>
      <w:r>
        <w:rPr>
          <w:color w:val="000000"/>
          <w:sz w:val="22"/>
          <w:szCs w:val="22"/>
        </w:rPr>
        <w:t xml:space="preserve">Про затвердження умов продажу об’єкта малої приватизації - “Установка водопідготовча автоматизована “ВПУ-4” (інвентарний номер 10420007)» </w:t>
      </w:r>
      <w:bookmarkEnd w:id="2"/>
      <w:r>
        <w:rPr>
          <w:color w:val="000000"/>
          <w:sz w:val="22"/>
          <w:szCs w:val="22"/>
        </w:rPr>
        <w:t>»</w:t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b/>
          <w:color w:val="000000"/>
          <w:sz w:val="22"/>
          <w:szCs w:val="22"/>
        </w:rPr>
        <w:t>Унікальний код об’єкта: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UA-AR-P-2019-08-01-000001-1</w:t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21 календарний день від дати опублікування інформаційного повідомлення про приватизацію об’єкта ЕТС.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Крок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- аукціону без умов – 184,51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- аукціону із зниженням стартової ціни – 92,26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>
        <w:rPr>
          <w:color w:val="000000"/>
          <w:sz w:val="22"/>
          <w:szCs w:val="22"/>
          <w:lang w:val="ru-RU"/>
        </w:rPr>
        <w:t>92,26</w:t>
      </w:r>
      <w:r>
        <w:rPr>
          <w:color w:val="000000"/>
          <w:sz w:val="22"/>
          <w:szCs w:val="22"/>
        </w:rPr>
        <w:t xml:space="preserve">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Загальна кількість кроків</w:t>
      </w:r>
      <w:r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              </w:t>
      </w:r>
      <w:r>
        <w:rPr>
          <w:b/>
          <w:color w:val="000000"/>
          <w:sz w:val="22"/>
          <w:szCs w:val="22"/>
          <w:lang w:val="ru-RU"/>
        </w:rPr>
        <w:t>67</w:t>
      </w:r>
      <w:r>
        <w:rPr>
          <w:b/>
          <w:color w:val="000000"/>
          <w:sz w:val="22"/>
          <w:szCs w:val="22"/>
        </w:rPr>
        <w:t xml:space="preserve"> кроків</w:t>
      </w:r>
      <w:r>
        <w:rPr>
          <w:color w:val="000000"/>
          <w:sz w:val="22"/>
          <w:szCs w:val="22"/>
        </w:rPr>
        <w:t>.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>
      <w:pPr>
        <w:pStyle w:val="Normal"/>
        <w:jc w:val="both"/>
        <w:rPr/>
      </w:pPr>
      <w:hyperlink r:id="rId5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  <w:u w:val="single"/>
        </w:rPr>
        <w:t xml:space="preserve"> </w:t>
      </w:r>
    </w:p>
    <w:sectPr>
      <w:type w:val="nextPage"/>
      <w:pgSz w:w="11906" w:h="16838"/>
      <w:pgMar w:left="1418" w:right="851" w:header="720" w:top="851" w:footer="720" w:bottom="85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UkrainianMysl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5d1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ru-RU" w:bidi="ar-SA"/>
    </w:rPr>
  </w:style>
  <w:style w:type="paragraph" w:styleId="1">
    <w:name w:val="Heading 1"/>
    <w:basedOn w:val="Normal"/>
    <w:next w:val="Normal"/>
    <w:qFormat/>
    <w:rsid w:val="00b93d79"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qFormat/>
    <w:rsid w:val="00b93d79"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qFormat/>
    <w:rsid w:val="00b93d79"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qFormat/>
    <w:rsid w:val="00b93d79"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qFormat/>
    <w:rsid w:val="00b93d79"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qFormat/>
    <w:rsid w:val="00b93d79"/>
    <w:pPr>
      <w:keepNext w:val="true"/>
      <w:keepLines/>
      <w:spacing w:before="200" w:after="40"/>
      <w:outlineLvl w:val="5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unhideWhenUsed/>
    <w:rsid w:val="004074b5"/>
    <w:rPr>
      <w:color w:val="0000FF" w:themeColor="hyperlink"/>
      <w:u w:val="single"/>
    </w:rPr>
  </w:style>
  <w:style w:type="character" w:styleId="Style9" w:customStyle="1">
    <w:name w:val="Текст выноски Знак"/>
    <w:basedOn w:val="DefaultParagraphFont"/>
    <w:link w:val="a6"/>
    <w:uiPriority w:val="99"/>
    <w:semiHidden/>
    <w:qFormat/>
    <w:rsid w:val="00101cd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2"/>
      <w:szCs w:val="22"/>
    </w:rPr>
  </w:style>
  <w:style w:type="character" w:styleId="ListLabel2">
    <w:name w:val="ListLabel 2"/>
    <w:qFormat/>
    <w:rPr>
      <w:sz w:val="22"/>
      <w:szCs w:val="22"/>
    </w:rPr>
  </w:style>
  <w:style w:type="character" w:styleId="ListLabel3">
    <w:name w:val="ListLabel 3"/>
    <w:qFormat/>
    <w:rPr>
      <w:color w:val="000000"/>
      <w:sz w:val="22"/>
      <w:szCs w:val="22"/>
    </w:rPr>
  </w:style>
  <w:style w:type="character" w:styleId="ListLabel4">
    <w:name w:val="ListLabel 4"/>
    <w:qFormat/>
    <w:rPr>
      <w:sz w:val="22"/>
      <w:szCs w:val="22"/>
    </w:rPr>
  </w:style>
  <w:style w:type="character" w:styleId="ListLabel5">
    <w:name w:val="ListLabel 5"/>
    <w:qFormat/>
    <w:rPr>
      <w:color w:val="000000"/>
      <w:sz w:val="22"/>
      <w:szCs w:val="22"/>
    </w:rPr>
  </w:style>
  <w:style w:type="character" w:styleId="ListLabel6">
    <w:name w:val="ListLabel 6"/>
    <w:qFormat/>
    <w:rPr>
      <w:sz w:val="22"/>
      <w:szCs w:val="22"/>
    </w:rPr>
  </w:style>
  <w:style w:type="character" w:styleId="ListLabel7">
    <w:name w:val="ListLabel 7"/>
    <w:qFormat/>
    <w:rPr>
      <w:color w:val="000000"/>
      <w:sz w:val="22"/>
      <w:szCs w:val="22"/>
    </w:rPr>
  </w:style>
  <w:style w:type="character" w:styleId="ListLabel8">
    <w:name w:val="ListLabel 8"/>
    <w:qFormat/>
    <w:rPr>
      <w:sz w:val="22"/>
      <w:szCs w:val="22"/>
    </w:rPr>
  </w:style>
  <w:style w:type="character" w:styleId="ListLabel9">
    <w:name w:val="ListLabel 9"/>
    <w:qFormat/>
    <w:rPr>
      <w:color w:val="000000"/>
      <w:sz w:val="22"/>
      <w:szCs w:val="22"/>
    </w:rPr>
  </w:style>
  <w:style w:type="character" w:styleId="ListLabel10">
    <w:name w:val="ListLabel 10"/>
    <w:qFormat/>
    <w:rPr>
      <w:sz w:val="22"/>
      <w:szCs w:val="22"/>
    </w:rPr>
  </w:style>
  <w:style w:type="character" w:styleId="ListLabel11">
    <w:name w:val="ListLabel 11"/>
    <w:qFormat/>
    <w:rPr>
      <w:color w:val="000000"/>
      <w:sz w:val="22"/>
      <w:szCs w:val="22"/>
    </w:rPr>
  </w:style>
  <w:style w:type="character" w:styleId="ListLabel12">
    <w:name w:val="ListLabel 12"/>
    <w:qFormat/>
    <w:rPr>
      <w:sz w:val="22"/>
      <w:szCs w:val="22"/>
    </w:rPr>
  </w:style>
  <w:style w:type="character" w:styleId="ListLabel13">
    <w:name w:val="ListLabel 13"/>
    <w:qFormat/>
    <w:rPr>
      <w:color w:val="000000"/>
      <w:sz w:val="22"/>
      <w:szCs w:val="22"/>
    </w:rPr>
  </w:style>
  <w:style w:type="character" w:styleId="ListLabel14">
    <w:name w:val="ListLabel 14"/>
    <w:qFormat/>
    <w:rPr>
      <w:sz w:val="22"/>
      <w:szCs w:val="22"/>
    </w:rPr>
  </w:style>
  <w:style w:type="character" w:styleId="ListLabel15">
    <w:name w:val="ListLabel 15"/>
    <w:qFormat/>
    <w:rPr>
      <w:color w:val="000000"/>
      <w:sz w:val="22"/>
      <w:szCs w:val="22"/>
    </w:rPr>
  </w:style>
  <w:style w:type="character" w:styleId="ListLabel16">
    <w:name w:val="ListLabel 16"/>
    <w:qFormat/>
    <w:rPr>
      <w:sz w:val="22"/>
      <w:szCs w:val="22"/>
    </w:rPr>
  </w:style>
  <w:style w:type="character" w:styleId="ListLabel17">
    <w:name w:val="ListLabel 17"/>
    <w:qFormat/>
    <w:rPr>
      <w:sz w:val="22"/>
      <w:szCs w:val="22"/>
    </w:rPr>
  </w:style>
  <w:style w:type="character" w:styleId="ListLabel18">
    <w:name w:val="ListLabel 18"/>
    <w:qFormat/>
    <w:rPr>
      <w:sz w:val="22"/>
      <w:szCs w:val="22"/>
    </w:rPr>
  </w:style>
  <w:style w:type="character" w:styleId="ListLabel19">
    <w:name w:val="ListLabel 19"/>
    <w:qFormat/>
    <w:rPr>
      <w:sz w:val="22"/>
      <w:szCs w:val="22"/>
    </w:rPr>
  </w:style>
  <w:style w:type="character" w:styleId="ListLabel20">
    <w:name w:val="ListLabel 20"/>
    <w:qFormat/>
    <w:rPr>
      <w:sz w:val="22"/>
      <w:szCs w:val="22"/>
    </w:rPr>
  </w:style>
  <w:style w:type="character" w:styleId="ListLabel21">
    <w:name w:val="ListLabel 21"/>
    <w:qFormat/>
    <w:rPr>
      <w:sz w:val="22"/>
      <w:szCs w:val="22"/>
    </w:rPr>
  </w:style>
  <w:style w:type="character" w:styleId="ListLabel22">
    <w:name w:val="ListLabel 22"/>
    <w:qFormat/>
    <w:rPr>
      <w:sz w:val="22"/>
      <w:szCs w:val="22"/>
    </w:rPr>
  </w:style>
  <w:style w:type="character" w:styleId="ListLabel23">
    <w:name w:val="ListLabel 23"/>
    <w:qFormat/>
    <w:rPr>
      <w:sz w:val="22"/>
      <w:szCs w:val="22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Title"/>
    <w:basedOn w:val="Normal"/>
    <w:next w:val="Normal"/>
    <w:qFormat/>
    <w:rsid w:val="00b93d79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tyle16">
    <w:name w:val="Subtitle"/>
    <w:basedOn w:val="Normal"/>
    <w:next w:val="Normal"/>
    <w:qFormat/>
    <w:rsid w:val="00b93d7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101cd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82f"/>
    <w:pPr>
      <w:spacing w:before="0" w:after="0"/>
      <w:ind w:left="720" w:hanging="0"/>
      <w:contextualSpacing/>
    </w:pPr>
    <w:rPr/>
  </w:style>
  <w:style w:type="paragraph" w:styleId="31">
    <w:name w:val="Основной текст 3"/>
    <w:basedOn w:val="Normal"/>
    <w:qFormat/>
    <w:pPr>
      <w:jc w:val="both"/>
    </w:pPr>
    <w:rPr>
      <w:rFonts w:ascii="UkrainianMysl;Courier New" w:hAnsi="UkrainianMysl;Courier New" w:cs="UkrainianMysl;Courier New"/>
      <w:color w:val="000000"/>
      <w:sz w:val="26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hyperlink" Target="https://pkrv.dp.gov.ua/" TargetMode="External"/><Relationship Id="rId4" Type="http://schemas.openxmlformats.org/officeDocument/2006/relationships/hyperlink" Target="mailto:economica@pokrov-mr.gov.ua" TargetMode="External"/><Relationship Id="rId5" Type="http://schemas.openxmlformats.org/officeDocument/2006/relationships/hyperlink" Target="https://prozorro.sale/info/elektronni-majdanchiki-ets-prozorroprodazhi-cbd2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E0CA-11F0-472F-835D-9D58D9BD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Application>LibreOffice/6.2.0.3$Linux_X86_64 LibreOffice_project/98c6a8a1c6c7b144ce3cc729e34964b47ce25d62</Application>
  <Pages>3</Pages>
  <Words>899</Words>
  <Characters>6659</Characters>
  <CharactersWithSpaces>7623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2018-09-02T17:40:00Z</dcterms:created>
  <dc:creator>Admin</dc:creator>
  <dc:description/>
  <dc:language>ru-RU</dc:language>
  <cp:lastModifiedBy/>
  <cp:lastPrinted>2020-03-10T09:03:13Z</cp:lastPrinted>
  <dcterms:modified xsi:type="dcterms:W3CDTF">2020-03-10T09:07:41Z</dcterms:modified>
  <cp:revision>451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