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Інформаційне повідомлення </w:t>
      </w:r>
    </w:p>
    <w:p>
      <w:pPr>
        <w:pStyle w:val="Normal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про приватизацію об’єкта малої приватизації – Котел водогрійний «Грач КВГ – 5,2-115 СН (інвентарний номер 10410016), місцезнаходження:  Дніпропетровська область,  м.Покров, вул.Північно-Промислова, 34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Інформація про об’єкт приватизації: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Найменування об’єкта приватизації: </w:t>
      </w:r>
      <w:r>
        <w:rPr>
          <w:color w:val="000000"/>
          <w:spacing w:val="-1"/>
          <w:sz w:val="22"/>
          <w:szCs w:val="22"/>
        </w:rPr>
        <w:t>Котел водогрійний «Грач КВГ – 5,2-115 СН (інвентарний номер 10410016)</w:t>
      </w:r>
      <w:r>
        <w:rPr>
          <w:color w:val="000000"/>
          <w:sz w:val="22"/>
          <w:szCs w:val="22"/>
        </w:rPr>
        <w:t>.</w:t>
      </w:r>
    </w:p>
    <w:p>
      <w:pPr>
        <w:pStyle w:val="Normal"/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Місцезнаходження об’єкта: </w:t>
      </w:r>
      <w:r>
        <w:rPr>
          <w:color w:val="000000"/>
          <w:sz w:val="22"/>
          <w:szCs w:val="22"/>
        </w:rPr>
        <w:t>Дніпропетровська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область, місто Покров, вул.Північно-Промислова, 34.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>
      <w:pPr>
        <w:pStyle w:val="Normal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Котел водогрійний малогабаритний "Грач КВГ-5,2-115 СН" (інвентарний номер 10410016). Рік виготовлення - 2004. Призначений для отримання гарячої води, використовуваної в системі опалення, вентиляції та гарячого водопостачання об'єктів побутового і промислового призначення.</w:t>
      </w:r>
    </w:p>
    <w:p>
      <w:pPr>
        <w:pStyle w:val="Normal"/>
        <w:jc w:val="both"/>
        <w:rPr/>
      </w:pPr>
      <w:r>
        <w:rPr>
          <w:color w:val="000000"/>
          <w:spacing w:val="-1"/>
          <w:sz w:val="22"/>
          <w:szCs w:val="22"/>
        </w:rPr>
        <w:t>Технічний стан об'єкту: в неробочому стані, не експлуатувався з 2004 року, розукомплектований: відсутній блок управління заслонкою регуля</w:t>
      </w:r>
      <w:bookmarkStart w:id="0" w:name="_GoBack"/>
      <w:bookmarkEnd w:id="0"/>
      <w:r>
        <w:rPr>
          <w:color w:val="000000"/>
          <w:spacing w:val="-1"/>
          <w:sz w:val="22"/>
          <w:szCs w:val="22"/>
        </w:rPr>
        <w:t>ції подачі  газу, вентилятор ВД-3,5 нагнітання повітря, запірна арматура (крани, засувки, пальники, монометри, термометри), автоматичні блоки управління котлами.</w:t>
      </w:r>
    </w:p>
    <w:p>
      <w:pPr>
        <w:pStyle w:val="Normal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Місцезнаходження: Дніпропетровська область,  м.Покров, вул.Північно-Промислова, 34.</w:t>
      </w:r>
    </w:p>
    <w:p>
      <w:pPr>
        <w:pStyle w:val="Normal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 xml:space="preserve">Інформація про балансоутримувача (найменування, його місцезнаходження і контактні дані): </w:t>
      </w:r>
      <w:r>
        <w:rPr>
          <w:sz w:val="22"/>
          <w:szCs w:val="22"/>
        </w:rPr>
        <w:t>Управління житлово-комунального господарства та будівництва виконавчого комітету Покровської міської ради</w:t>
      </w:r>
      <w:r>
        <w:rPr>
          <w:color w:val="000000"/>
          <w:sz w:val="22"/>
          <w:szCs w:val="22"/>
        </w:rPr>
        <w:t>, код за ЄДРПОУ 34611037;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53300, Дніпропетровська область, місто Покров, вул. Центральна, 48; тел.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+380566744843, e-mail: </w:t>
      </w:r>
      <w:hyperlink r:id="rId2">
        <w:r>
          <w:rPr>
            <w:rStyle w:val="Style8"/>
            <w:sz w:val="22"/>
            <w:szCs w:val="22"/>
          </w:rPr>
          <w:t>uzkh@pokrov-mr.gov.ua</w:t>
        </w:r>
      </w:hyperlink>
      <w:r>
        <w:rPr>
          <w:color w:val="000000"/>
          <w:sz w:val="22"/>
          <w:szCs w:val="22"/>
        </w:rPr>
        <w:t xml:space="preserve"> 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Інформація про аукціон: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Спосіб проведення аукціону: </w:t>
      </w:r>
      <w:r>
        <w:rPr>
          <w:color w:val="000000"/>
          <w:sz w:val="22"/>
          <w:szCs w:val="22"/>
        </w:rPr>
        <w:t xml:space="preserve">аукціон без умов. </w:t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>Дата та час проведення аукціону:</w:t>
      </w:r>
      <w:r>
        <w:rPr>
          <w:color w:val="000000"/>
          <w:sz w:val="22"/>
          <w:szCs w:val="22"/>
        </w:rPr>
        <w:t xml:space="preserve"> </w:t>
      </w:r>
      <w:bookmarkStart w:id="1" w:name="__DdeLink__4463_120085229"/>
      <w:r>
        <w:rPr>
          <w:b/>
          <w:color w:val="000000"/>
          <w:sz w:val="22"/>
          <w:szCs w:val="22"/>
          <w:lang w:val="ru-RU"/>
        </w:rPr>
        <w:t xml:space="preserve">29 </w:t>
      </w:r>
      <w:r>
        <w:rPr>
          <w:b/>
          <w:color w:val="000000"/>
          <w:sz w:val="22"/>
          <w:szCs w:val="22"/>
          <w:lang w:val="uk-UA" w:eastAsia="ru-RU" w:bidi="ar-SA"/>
        </w:rPr>
        <w:t>липня</w:t>
      </w:r>
      <w:bookmarkEnd w:id="1"/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2019 року</w:t>
      </w:r>
      <w:r>
        <w:rPr>
          <w:sz w:val="22"/>
          <w:szCs w:val="22"/>
        </w:rPr>
        <w:t>, час проведення визначається електронною торговою системою автоматично.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Аукціон проводиться відповідно до «Порядку проведення електронних аукціонів для продажу об’єктів малої приватизації та визначення додаткових умов продажу», затвердженого Постановою Кабінету Міністрів України від 10 травня № 432 (із змінами, внесеними згідно з постановою КМУ №579 від 18.07.2018).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>
      <w:pPr>
        <w:pStyle w:val="Normal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аукціону без умов – 93 022,00 грн.;</w:t>
        <w:tab/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аукціону із зниженням стартової ціни -  46 511,00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46 511,00 грн.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Розмір гарантійного внеску електронного аукціону для: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аукціону без умов – 9 302,20 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аукціону із зниженням стартової ціни – 4 651,10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4 651,10 грн.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Розмір реєстраційного  внеску </w:t>
      </w:r>
      <w:r>
        <w:rPr>
          <w:color w:val="000000"/>
          <w:sz w:val="22"/>
          <w:szCs w:val="22"/>
        </w:rPr>
        <w:t>становить 0,2 мінімальної заробітної плати станом на 1 січня поточного року.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Усі пов’язані з нотаріальним посвідченням договору купівлі-продажу витрати покладаються на покупця об’єкта приватизації відповідно до ст.26 Закону України «Про приватизацію державного і комунального майна».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Додаткова інформація: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  <w:t>Оператор електронного майданчика перераховує на казначейський рахунок № 37320086028931, одержувач: Виконавчий комітет Покровської міської ради Дніпропетровської області, банк одержувача: Держказначейська служба України, м.Київ, МФО 820172,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>
      <w:pPr>
        <w:pStyle w:val="Normal"/>
        <w:widowControl w:val="false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  <w:t>Оператор електронного майданчика перераховує на казначейський №37320086028931, одержувач:  Виконавчий комітет Покровської міської ради Дніпропетровської області, банк одержувача: Держказначейська служба України, м.Київ, МФО 820172,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>
      <w:pPr>
        <w:pStyle w:val="Normal"/>
        <w:widowControl w:val="false"/>
        <w:jc w:val="both"/>
        <w:rPr>
          <w:b/>
          <w:b/>
          <w:sz w:val="16"/>
          <w:szCs w:val="16"/>
        </w:rPr>
      </w:pPr>
      <w:r>
        <w:rPr>
          <w:sz w:val="22"/>
          <w:szCs w:val="22"/>
        </w:rPr>
        <w:tab/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  <w:t>Банківські реквізити, на які переможець аукціону перераховує кошти за придбаний об’єкт: казначейський рахунок №37320086028931, одержувач:  Виконавчий комітет Покровської міської ради Дніпропетровської області, банк одержувача: Держказначейська служба України, м.Київ, МФО 820172, код ЄДРПОУ 04052212.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>
        <w:rPr>
          <w:color w:val="000000"/>
          <w:sz w:val="22"/>
          <w:szCs w:val="22"/>
        </w:rPr>
        <w:t xml:space="preserve">розміщені на сайті: </w:t>
      </w:r>
      <w:hyperlink r:id="rId3">
        <w:r>
          <w:rPr>
            <w:rStyle w:val="Style8"/>
            <w:sz w:val="22"/>
            <w:szCs w:val="22"/>
          </w:rPr>
          <w:t>https://prozorro.sale/info/elektronni-majdanchiki-ets-prozorroprodazhi-cbd2</w:t>
        </w:r>
      </w:hyperlink>
      <w:r>
        <w:rPr>
          <w:color w:val="000000"/>
          <w:sz w:val="22"/>
          <w:szCs w:val="22"/>
        </w:rPr>
        <w:t xml:space="preserve"> 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ознайомитися з об’єктом можна за місцем його розташування у робочі дні з 8.00 до 17.00, п’ятниця – з 8.00 до 16.00, обідня перерва з 12.00 до 12.45, попередньо узгодивши з представником органу приватизації годину огляду об’єкта за телефоном: (05667) 42244.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Організатор аукціону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>
        <w:rPr>
          <w:bCs/>
          <w:sz w:val="22"/>
          <w:szCs w:val="22"/>
        </w:rPr>
        <w:t xml:space="preserve"> область, місто Покров, вулиця Центральна, 48; </w:t>
      </w:r>
      <w:r>
        <w:rPr>
          <w:color w:val="000000"/>
          <w:sz w:val="22"/>
          <w:szCs w:val="22"/>
        </w:rPr>
        <w:t>адреса веб-сайту:</w:t>
      </w:r>
      <w:r>
        <w:rPr>
          <w:sz w:val="22"/>
          <w:szCs w:val="22"/>
        </w:rPr>
        <w:t xml:space="preserve"> </w:t>
      </w:r>
      <w:hyperlink r:id="rId4">
        <w:r>
          <w:rPr>
            <w:rStyle w:val="Style8"/>
            <w:sz w:val="22"/>
            <w:szCs w:val="22"/>
          </w:rPr>
          <w:t>https://pkrv.dp.gov.ua/</w:t>
        </w:r>
      </w:hyperlink>
      <w:r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r>
        <w:rPr>
          <w:sz w:val="22"/>
          <w:szCs w:val="22"/>
          <w:shd w:fill="FFFFFF" w:val="clear"/>
        </w:rPr>
        <w:t xml:space="preserve">Сідашова Тетяна Вікторівна, тел. </w:t>
      </w:r>
      <w:r>
        <w:rPr>
          <w:color w:val="000000"/>
          <w:spacing w:val="-1"/>
          <w:sz w:val="22"/>
          <w:szCs w:val="22"/>
        </w:rPr>
        <w:t xml:space="preserve">+380985035503; </w:t>
      </w:r>
      <w:r>
        <w:rPr>
          <w:color w:val="000000"/>
          <w:sz w:val="22"/>
          <w:szCs w:val="22"/>
        </w:rPr>
        <w:t xml:space="preserve">e-mail: </w:t>
      </w:r>
      <w:hyperlink r:id="rId5">
        <w:r>
          <w:rPr>
            <w:rStyle w:val="Style8"/>
            <w:sz w:val="22"/>
            <w:szCs w:val="22"/>
          </w:rPr>
          <w:t>economica@pokrov-mr.gov.ua</w:t>
        </w:r>
      </w:hyperlink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26.12.2018 № 522 «Про затвердження умов продажу об’єктів малої приватизації комунальної власності територіальної громади міста Покров, приватизація яких затверджена рішенням 40 сесії Покровської міської ради 7 кликання від 04.12.2018 №20».</w:t>
      </w:r>
    </w:p>
    <w:p>
      <w:pPr>
        <w:pStyle w:val="Normal"/>
        <w:spacing w:before="0" w:after="0"/>
        <w:contextualSpacing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spacing w:before="0" w:after="0"/>
        <w:contextualSpacing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Унікальний код об’єкта: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UA-AR-P-2018-12-10-000014-1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21 календарний день</w:t>
      </w:r>
      <w:r>
        <w:rPr>
          <w:color w:val="000000"/>
          <w:sz w:val="22"/>
          <w:szCs w:val="22"/>
        </w:rPr>
        <w:t xml:space="preserve"> від дати опублікування інформаційного повідомлення про приватизацію об’єкта ЕТС.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Крок аукціону для: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аукціону без умов – </w:t>
      </w:r>
      <w:r>
        <w:rPr>
          <w:color w:val="000000"/>
          <w:sz w:val="22"/>
          <w:szCs w:val="22"/>
          <w:lang w:val="ru-RU"/>
        </w:rPr>
        <w:t>930,22</w:t>
      </w:r>
      <w:r>
        <w:rPr>
          <w:color w:val="000000"/>
          <w:sz w:val="22"/>
          <w:szCs w:val="22"/>
        </w:rPr>
        <w:t xml:space="preserve">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аукціону із зниженням стартової ціни – </w:t>
      </w:r>
      <w:r>
        <w:rPr>
          <w:color w:val="000000"/>
          <w:sz w:val="22"/>
          <w:szCs w:val="22"/>
          <w:lang w:val="ru-RU"/>
        </w:rPr>
        <w:t>465,11</w:t>
      </w:r>
      <w:r>
        <w:rPr>
          <w:color w:val="000000"/>
          <w:sz w:val="22"/>
          <w:szCs w:val="22"/>
        </w:rPr>
        <w:t xml:space="preserve">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>
        <w:rPr>
          <w:color w:val="000000"/>
          <w:sz w:val="22"/>
          <w:szCs w:val="22"/>
          <w:lang w:val="ru-RU"/>
        </w:rPr>
        <w:t>465,11</w:t>
      </w:r>
      <w:r>
        <w:rPr>
          <w:color w:val="000000"/>
          <w:sz w:val="22"/>
          <w:szCs w:val="22"/>
        </w:rPr>
        <w:t xml:space="preserve"> грн.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Загальна кількість кроків</w:t>
      </w:r>
      <w:r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</w:t>
      </w:r>
      <w:r>
        <w:rPr>
          <w:b/>
          <w:color w:val="000000"/>
          <w:sz w:val="22"/>
          <w:szCs w:val="22"/>
          <w:lang w:val="ru-RU"/>
        </w:rPr>
        <w:t>76</w:t>
      </w:r>
      <w:r>
        <w:rPr>
          <w:b/>
          <w:color w:val="000000"/>
          <w:sz w:val="22"/>
          <w:szCs w:val="22"/>
        </w:rPr>
        <w:t xml:space="preserve"> кроки</w:t>
      </w:r>
      <w:r>
        <w:rPr>
          <w:color w:val="000000"/>
          <w:sz w:val="22"/>
          <w:szCs w:val="22"/>
        </w:rPr>
        <w:t xml:space="preserve">.      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>
      <w:pPr>
        <w:pStyle w:val="Normal"/>
        <w:jc w:val="both"/>
        <w:rPr/>
      </w:pPr>
      <w:hyperlink r:id="rId6">
        <w:r>
          <w:rPr>
            <w:rStyle w:val="Style8"/>
            <w:sz w:val="22"/>
            <w:szCs w:val="22"/>
          </w:rPr>
          <w:t>https://prozorro.sale/info/elektronni-majdanchiki-ets-prozorroprodazhi-cbd2</w:t>
        </w:r>
      </w:hyperlink>
      <w:r>
        <w:rPr>
          <w:color w:val="000000"/>
          <w:sz w:val="22"/>
          <w:szCs w:val="22"/>
          <w:u w:val="single"/>
        </w:rPr>
        <w:t xml:space="preserve"> </w:t>
      </w:r>
    </w:p>
    <w:sectPr>
      <w:type w:val="nextPage"/>
      <w:pgSz w:w="11906" w:h="16838"/>
      <w:pgMar w:left="1304" w:right="851" w:header="720" w:top="851" w:footer="720" w:bottom="851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5d1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ru-RU" w:bidi="ar-SA"/>
    </w:rPr>
  </w:style>
  <w:style w:type="paragraph" w:styleId="1">
    <w:name w:val="Heading 1"/>
    <w:basedOn w:val="Normal"/>
    <w:next w:val="Normal"/>
    <w:qFormat/>
    <w:rsid w:val="00b93d79"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qFormat/>
    <w:rsid w:val="00b93d79"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qFormat/>
    <w:rsid w:val="00b93d79"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qFormat/>
    <w:rsid w:val="00b93d79"/>
    <w:pPr>
      <w:keepNext w:val="true"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qFormat/>
    <w:rsid w:val="00b93d79"/>
    <w:pPr>
      <w:keepNext w:val="true"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qFormat/>
    <w:rsid w:val="00b93d79"/>
    <w:pPr>
      <w:keepNext w:val="true"/>
      <w:keepLines/>
      <w:spacing w:before="200" w:after="40"/>
      <w:outlineLvl w:val="5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basedOn w:val="DefaultParagraphFont"/>
    <w:uiPriority w:val="99"/>
    <w:unhideWhenUsed/>
    <w:rsid w:val="004074b5"/>
    <w:rPr>
      <w:color w:val="0000FF" w:themeColor="hyperlink"/>
      <w:u w:val="single"/>
    </w:rPr>
  </w:style>
  <w:style w:type="character" w:styleId="Style9" w:customStyle="1">
    <w:name w:val="Текст выноски Знак"/>
    <w:basedOn w:val="DefaultParagraphFont"/>
    <w:link w:val="a6"/>
    <w:uiPriority w:val="99"/>
    <w:semiHidden/>
    <w:qFormat/>
    <w:rsid w:val="00101cdd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22"/>
      <w:szCs w:val="22"/>
    </w:rPr>
  </w:style>
  <w:style w:type="character" w:styleId="ListLabel5">
    <w:name w:val="ListLabel 5"/>
    <w:qFormat/>
    <w:rPr>
      <w:sz w:val="22"/>
      <w:szCs w:val="22"/>
    </w:rPr>
  </w:style>
  <w:style w:type="character" w:styleId="ListLabel6">
    <w:name w:val="ListLabel 6"/>
    <w:qFormat/>
    <w:rPr>
      <w:sz w:val="22"/>
      <w:szCs w:val="22"/>
    </w:rPr>
  </w:style>
  <w:style w:type="character" w:styleId="ListLabel7">
    <w:name w:val="ListLabel 7"/>
    <w:qFormat/>
    <w:rPr>
      <w:sz w:val="22"/>
      <w:szCs w:val="22"/>
    </w:rPr>
  </w:style>
  <w:style w:type="character" w:styleId="ListLabel8">
    <w:name w:val="ListLabel 8"/>
    <w:qFormat/>
    <w:rPr>
      <w:sz w:val="22"/>
      <w:szCs w:val="22"/>
    </w:rPr>
  </w:style>
  <w:style w:type="character" w:styleId="ListLabel9">
    <w:name w:val="ListLabel 9"/>
    <w:qFormat/>
    <w:rPr>
      <w:sz w:val="22"/>
      <w:szCs w:val="22"/>
    </w:rPr>
  </w:style>
  <w:style w:type="character" w:styleId="ListLabel10">
    <w:name w:val="ListLabel 10"/>
    <w:qFormat/>
    <w:rPr>
      <w:sz w:val="22"/>
      <w:szCs w:val="22"/>
    </w:rPr>
  </w:style>
  <w:style w:type="character" w:styleId="ListLabel11">
    <w:name w:val="ListLabel 11"/>
    <w:qFormat/>
    <w:rPr>
      <w:sz w:val="22"/>
      <w:szCs w:val="22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Style15">
    <w:name w:val="Title"/>
    <w:basedOn w:val="Normal"/>
    <w:next w:val="Normal"/>
    <w:qFormat/>
    <w:rsid w:val="00b93d79"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Style16">
    <w:name w:val="Subtitle"/>
    <w:basedOn w:val="Normal"/>
    <w:next w:val="Normal"/>
    <w:qFormat/>
    <w:rsid w:val="00b93d79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101cdd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82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zkh@pokrov-mr.gov.ua" TargetMode="External"/><Relationship Id="rId3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hyperlink" Target="https://pkrv.dp.gov.ua/" TargetMode="External"/><Relationship Id="rId5" Type="http://schemas.openxmlformats.org/officeDocument/2006/relationships/hyperlink" Target="mailto:economica@pokrov-mr.gov.ua" TargetMode="External"/><Relationship Id="rId6" Type="http://schemas.openxmlformats.org/officeDocument/2006/relationships/hyperlink" Target="https://prozorro.sale/info/elektronni-majdanchiki-ets-prozorroprodazhi-cbd2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LibreOffice/6.2.0.3$Linux_X86_64 LibreOffice_project/98c6a8a1c6c7b144ce3cc729e34964b47ce25d62</Application>
  <Pages>3</Pages>
  <Words>985</Words>
  <Characters>7263</Characters>
  <CharactersWithSpaces>8240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2018-12-29T12:12:00Z</dcterms:created>
  <dc:creator>Admin</dc:creator>
  <dc:description/>
  <dc:language>ru-RU</dc:language>
  <cp:lastModifiedBy/>
  <cp:lastPrinted>2019-07-08T15:00:12Z</cp:lastPrinted>
  <dcterms:modified xsi:type="dcterms:W3CDTF">2019-07-08T16:14:10Z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