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media/image1.png" ContentType="image/png"/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9"/>
        <w:shd w:val="clear" w:color="auto" w:fill="FFFFFF"/>
        <w:spacing w:lineRule="atLeast" w:line="240" w:before="0" w:after="0"/>
        <w:jc w:val="center"/>
        <w:rPr/>
      </w:pPr>
      <w:r>
        <w:rPr>
          <w:rStyle w:val="Style14"/>
          <w:b/>
          <w:i w:val="false"/>
          <w:caps w:val="false"/>
          <w:smallCaps w:val="false"/>
          <w:color w:val="303030"/>
          <w:spacing w:val="0"/>
          <w:sz w:val="28"/>
          <w:szCs w:val="28"/>
          <w:lang w:val="uk-UA" w:bidi="ar-SA"/>
        </w:rPr>
        <w:t>Звіт про розгляд запитів на отримання інформації</w:t>
      </w:r>
    </w:p>
    <w:p>
      <w:pPr>
        <w:pStyle w:val="Style19"/>
        <w:shd w:val="clear" w:color="auto" w:fill="FFFFFF"/>
        <w:spacing w:lineRule="atLeast" w:line="240"/>
        <w:jc w:val="center"/>
        <w:rPr/>
      </w:pPr>
      <w:r>
        <w:rPr>
          <w:rStyle w:val="Style14"/>
          <w:b/>
          <w:i w:val="false"/>
          <w:caps w:val="false"/>
          <w:smallCaps w:val="false"/>
          <w:color w:val="303030"/>
          <w:spacing w:val="0"/>
          <w:sz w:val="28"/>
          <w:szCs w:val="28"/>
          <w:lang w:val="uk-UA" w:bidi="ar-SA"/>
        </w:rPr>
        <w:t>за І півріччя 2020 року наданих</w:t>
      </w:r>
      <w:r>
        <w:rPr>
          <w:rStyle w:val="Style14"/>
          <w:b/>
          <w:i w:val="false"/>
          <w:caps w:val="false"/>
          <w:smallCaps w:val="false"/>
          <w:color w:val="303030"/>
          <w:spacing w:val="0"/>
          <w:sz w:val="28"/>
          <w:szCs w:val="28"/>
          <w:lang w:val="uk-UA" w:eastAsia="zh-CN" w:bidi="ar-SA"/>
        </w:rPr>
        <w:t xml:space="preserve"> виконкомом Покровської міської ради Дніпропетровської області.</w:t>
      </w:r>
    </w:p>
    <w:p>
      <w:pPr>
        <w:pStyle w:val="Style19"/>
        <w:widowControl/>
        <w:spacing w:before="0" w:after="87"/>
        <w:ind w:left="0" w:right="0" w:hanging="0"/>
        <w:rPr>
          <w:rFonts w:ascii="Times New Roman" w:hAnsi="Times New Roman"/>
        </w:rPr>
      </w:pPr>
      <w:r>
        <w:rPr>
          <w:b w:val="false"/>
          <w:i w:val="false"/>
          <w:caps w:val="false"/>
          <w:smallCaps w:val="false"/>
          <w:color w:val="303030"/>
          <w:spacing w:val="0"/>
          <w:sz w:val="28"/>
          <w:szCs w:val="28"/>
          <w:lang w:val="uk-UA" w:bidi="ar-SA"/>
        </w:rPr>
        <w:t xml:space="preserve">           </w:t>
      </w:r>
      <w:r>
        <w:rPr>
          <w:b w:val="false"/>
          <w:i w:val="false"/>
          <w:caps w:val="false"/>
          <w:smallCaps w:val="false"/>
          <w:color w:val="303030"/>
          <w:spacing w:val="0"/>
          <w:sz w:val="28"/>
          <w:szCs w:val="28"/>
          <w:lang w:val="uk-UA" w:bidi="ar-SA"/>
        </w:rPr>
        <w:t xml:space="preserve">З 01.01.2020 року по 30.06.2020 року до виконавчого комітету Покровської   </w:t>
      </w:r>
    </w:p>
    <w:p>
      <w:pPr>
        <w:pStyle w:val="Style19"/>
        <w:widowControl/>
        <w:spacing w:before="0" w:after="87"/>
        <w:ind w:left="0" w:right="0" w:hanging="0"/>
        <w:rPr>
          <w:rFonts w:ascii="Times New Roman" w:hAnsi="Times New Roman"/>
        </w:rPr>
      </w:pPr>
      <w:r>
        <w:rPr>
          <w:b w:val="false"/>
          <w:i w:val="false"/>
          <w:caps w:val="false"/>
          <w:smallCaps w:val="false"/>
          <w:color w:val="303030"/>
          <w:spacing w:val="0"/>
          <w:sz w:val="28"/>
          <w:szCs w:val="28"/>
          <w:lang w:val="uk-UA" w:bidi="ar-SA"/>
        </w:rPr>
        <w:t xml:space="preserve">     </w:t>
      </w:r>
      <w:r>
        <w:rPr>
          <w:b w:val="false"/>
          <w:i w:val="false"/>
          <w:caps w:val="false"/>
          <w:smallCaps w:val="false"/>
          <w:color w:val="303030"/>
          <w:spacing w:val="0"/>
          <w:sz w:val="28"/>
          <w:szCs w:val="28"/>
          <w:lang w:val="uk-UA" w:bidi="ar-SA"/>
        </w:rPr>
        <w:t>міської ради надійшло 36 запитів на інформацію:</w:t>
      </w:r>
    </w:p>
    <w:p>
      <w:pPr>
        <w:pStyle w:val="Style19"/>
        <w:widowControl/>
        <w:tabs>
          <w:tab w:val="clear" w:pos="322"/>
          <w:tab w:val="left" w:pos="0" w:leader="none"/>
        </w:tabs>
        <w:spacing w:before="0" w:after="150"/>
        <w:ind w:left="0" w:right="0" w:hanging="0"/>
        <w:jc w:val="both"/>
        <w:rPr>
          <w:lang w:val="uk-UA" w:bidi="ar-SA"/>
        </w:rPr>
      </w:pPr>
      <w:r>
        <w:rPr>
          <w:b w:val="false"/>
          <w:i w:val="false"/>
          <w:iCs/>
          <w:caps w:val="false"/>
          <w:smallCaps w:val="false"/>
          <w:color w:val="303030"/>
          <w:spacing w:val="0"/>
          <w:sz w:val="28"/>
          <w:szCs w:val="28"/>
          <w:lang w:val="uk-UA" w:bidi="ar-SA"/>
        </w:rPr>
        <w:t xml:space="preserve">                           </w:t>
      </w:r>
      <w:r>
        <w:rPr>
          <w:b w:val="false"/>
          <w:i w:val="false"/>
          <w:iCs/>
          <w:caps w:val="false"/>
          <w:smallCaps w:val="false"/>
          <w:color w:val="303030"/>
          <w:spacing w:val="0"/>
          <w:sz w:val="28"/>
          <w:szCs w:val="28"/>
          <w:highlight w:val="lightGray"/>
          <w:lang w:val="uk-UA" w:bidi="ar-SA"/>
        </w:rPr>
        <w:t xml:space="preserve">електронною поштою – 32 </w:t>
      </w:r>
    </w:p>
    <w:p>
      <w:pPr>
        <w:pStyle w:val="Style19"/>
        <w:widowControl/>
        <w:tabs>
          <w:tab w:val="clear" w:pos="322"/>
          <w:tab w:val="left" w:pos="0" w:leader="none"/>
        </w:tabs>
        <w:spacing w:before="0" w:after="150"/>
        <w:ind w:left="0" w:right="0" w:hanging="0"/>
        <w:jc w:val="both"/>
        <w:rPr>
          <w:lang w:val="uk-UA" w:bidi="ar-SA"/>
        </w:rPr>
      </w:pPr>
      <w:r>
        <w:rPr>
          <w:b w:val="false"/>
          <w:i w:val="false"/>
          <w:iCs/>
          <w:caps w:val="false"/>
          <w:smallCaps w:val="false"/>
          <w:color w:val="303030"/>
          <w:spacing w:val="0"/>
          <w:sz w:val="28"/>
          <w:szCs w:val="28"/>
          <w:lang w:val="uk-UA" w:bidi="ar-SA"/>
        </w:rPr>
        <w:t xml:space="preserve">                                                                              </w:t>
      </w:r>
      <w:r>
        <w:rPr>
          <w:b w:val="false"/>
          <w:i w:val="false"/>
          <w:iCs/>
          <w:caps w:val="false"/>
          <w:smallCaps w:val="false"/>
          <w:color w:val="000000"/>
          <w:spacing w:val="0"/>
          <w:sz w:val="28"/>
          <w:szCs w:val="28"/>
          <w:highlight w:val="lightGray"/>
          <w:lang w:val="uk-UA" w:bidi="ar-SA"/>
        </w:rPr>
        <w:t>особисто — 3</w:t>
      </w:r>
    </w:p>
    <w:p>
      <w:pPr>
        <w:pStyle w:val="Style19"/>
        <w:widowControl/>
        <w:tabs>
          <w:tab w:val="clear" w:pos="322"/>
          <w:tab w:val="left" w:pos="0" w:leader="none"/>
        </w:tabs>
        <w:spacing w:before="0" w:after="150"/>
        <w:ind w:left="0" w:right="0" w:hanging="0"/>
        <w:jc w:val="both"/>
        <w:rPr>
          <w:lang w:val="uk-UA" w:bidi="ar-SA"/>
        </w:rPr>
      </w:pPr>
      <w:r>
        <w:rPr>
          <w:b w:val="false"/>
          <w:i w:val="false"/>
          <w:iCs/>
          <w:caps w:val="false"/>
          <w:smallCaps w:val="false"/>
          <w:color w:val="303030"/>
          <w:spacing w:val="0"/>
          <w:sz w:val="28"/>
          <w:szCs w:val="28"/>
          <w:lang w:val="uk-UA" w:bidi="ar-SA"/>
        </w:rPr>
        <w:t xml:space="preserve">                                                                                                             </w:t>
      </w:r>
      <w:r>
        <w:rPr>
          <w:b w:val="false"/>
          <w:i w:val="false"/>
          <w:iCs/>
          <w:caps w:val="false"/>
          <w:smallCaps w:val="false"/>
          <w:color w:val="303030"/>
          <w:spacing w:val="0"/>
          <w:sz w:val="28"/>
          <w:szCs w:val="28"/>
          <w:highlight w:val="lightGray"/>
          <w:lang w:val="uk-UA" w:bidi="ar-SA"/>
        </w:rPr>
        <w:t xml:space="preserve">поштою – 1 </w:t>
      </w:r>
    </w:p>
    <w:p>
      <w:pPr>
        <w:pStyle w:val="Style19"/>
        <w:widowControl/>
        <w:tabs>
          <w:tab w:val="clear" w:pos="322"/>
          <w:tab w:val="left" w:pos="0" w:leader="none"/>
        </w:tabs>
        <w:spacing w:before="0" w:after="150"/>
        <w:ind w:left="0" w:right="0" w:hanging="0"/>
        <w:jc w:val="center"/>
        <w:rPr>
          <w:lang w:val="uk-UA" w:bidi="ar-SA"/>
        </w:rPr>
      </w:pPr>
      <w:r>
        <w:rPr/>
        <w:drawing>
          <wp:inline distT="0" distB="0" distL="0" distR="0">
            <wp:extent cx="6372860" cy="2384425"/>
            <wp:effectExtent l="0" t="0" r="0" b="0"/>
            <wp:docPr id="1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"/>
              </a:graphicData>
            </a:graphic>
          </wp:inline>
        </w:drawing>
      </w:r>
    </w:p>
    <w:p>
      <w:pPr>
        <w:pStyle w:val="Style19"/>
        <w:widowControl/>
        <w:spacing w:before="0" w:after="87"/>
        <w:ind w:left="0" w:right="0" w:hanging="0"/>
        <w:jc w:val="both"/>
        <w:rPr>
          <w:b w:val="false"/>
          <w:b w:val="false"/>
          <w:caps w:val="false"/>
          <w:smallCaps w:val="false"/>
          <w:color w:val="303030"/>
          <w:spacing w:val="0"/>
        </w:rPr>
      </w:pPr>
      <w:r>
        <w:rPr>
          <w:b w:val="false"/>
          <w:caps w:val="false"/>
          <w:smallCaps w:val="false"/>
          <w:color w:val="303030"/>
          <w:spacing w:val="0"/>
        </w:rPr>
      </w:r>
    </w:p>
    <w:p>
      <w:pPr>
        <w:pStyle w:val="Style19"/>
        <w:widowControl/>
        <w:numPr>
          <w:ilvl w:val="0"/>
          <w:numId w:val="1"/>
        </w:numPr>
        <w:tabs>
          <w:tab w:val="clear" w:pos="322"/>
          <w:tab w:val="left" w:pos="0" w:leader="none"/>
        </w:tabs>
        <w:spacing w:before="0" w:after="150"/>
        <w:jc w:val="both"/>
        <w:rPr>
          <w:lang w:val="uk-UA" w:bidi="ar-SA"/>
        </w:rPr>
      </w:pPr>
      <w:r>
        <w:rPr>
          <w:b w:val="false"/>
          <w:i/>
          <w:iCs/>
          <w:caps w:val="false"/>
          <w:smallCaps w:val="false"/>
          <w:color w:val="303030"/>
          <w:spacing w:val="0"/>
          <w:sz w:val="26"/>
          <w:szCs w:val="26"/>
          <w:lang w:val="uk-UA" w:bidi="ar-SA"/>
        </w:rPr>
        <w:t>від юридичних осіб – 5 запитів або 13,89% від загальної кількості запитів (електронною поштою – 2, особисто — 2, поштою 1)</w:t>
      </w:r>
    </w:p>
    <w:p>
      <w:pPr>
        <w:pStyle w:val="Style19"/>
        <w:widowControl/>
        <w:numPr>
          <w:ilvl w:val="0"/>
          <w:numId w:val="1"/>
        </w:numPr>
        <w:tabs>
          <w:tab w:val="clear" w:pos="322"/>
          <w:tab w:val="left" w:pos="0" w:leader="none"/>
        </w:tabs>
        <w:spacing w:before="0" w:after="150"/>
        <w:jc w:val="both"/>
        <w:rPr>
          <w:lang w:val="uk-UA" w:bidi="ar-SA"/>
        </w:rPr>
      </w:pPr>
      <w:r>
        <w:rPr>
          <w:b w:val="false"/>
          <w:i/>
          <w:iCs/>
          <w:caps w:val="false"/>
          <w:smallCaps w:val="false"/>
          <w:color w:val="303030"/>
          <w:spacing w:val="0"/>
          <w:sz w:val="26"/>
          <w:szCs w:val="26"/>
          <w:lang w:val="uk-UA" w:bidi="ar-SA"/>
        </w:rPr>
        <w:t>від фізичних осіб – 24 запитів або 66,67% від загальної кількості запитів, (електронною поштою – 23, особисто — 1)</w:t>
      </w:r>
    </w:p>
    <w:p>
      <w:pPr>
        <w:pStyle w:val="Style19"/>
        <w:widowControl/>
        <w:numPr>
          <w:ilvl w:val="0"/>
          <w:numId w:val="1"/>
        </w:numPr>
        <w:tabs>
          <w:tab w:val="clear" w:pos="322"/>
          <w:tab w:val="left" w:pos="0" w:leader="none"/>
        </w:tabs>
        <w:spacing w:before="0" w:after="150"/>
        <w:jc w:val="both"/>
        <w:rPr>
          <w:lang w:val="uk-UA" w:bidi="ar-SA"/>
        </w:rPr>
      </w:pPr>
      <w:r>
        <w:rPr>
          <w:b w:val="false"/>
          <w:i/>
          <w:iCs/>
          <w:caps w:val="false"/>
          <w:smallCaps w:val="false"/>
          <w:color w:val="303030"/>
          <w:spacing w:val="0"/>
          <w:sz w:val="26"/>
          <w:szCs w:val="26"/>
          <w:lang w:val="uk-UA" w:bidi="ar-SA"/>
        </w:rPr>
        <w:t xml:space="preserve">від громадських об'єднань — 7 запитів або 19,44% від загальної кількості запитів, (електронною поштою – 7) </w:t>
      </w:r>
    </w:p>
    <w:p>
      <w:pPr>
        <w:pStyle w:val="Style19"/>
        <w:widowControl/>
        <w:tabs>
          <w:tab w:val="clear" w:pos="322"/>
          <w:tab w:val="left" w:pos="0" w:leader="none"/>
        </w:tabs>
        <w:spacing w:before="0" w:after="150"/>
        <w:jc w:val="center"/>
        <w:rPr>
          <w:rFonts w:ascii="Roboto;sans-serif" w:hAnsi="Roboto;sans-serif"/>
          <w:b w:val="false"/>
          <w:b w:val="false"/>
          <w:i w:val="false"/>
          <w:i w:val="false"/>
          <w:caps w:val="false"/>
          <w:smallCaps w:val="false"/>
          <w:color w:val="303030"/>
          <w:spacing w:val="0"/>
          <w:sz w:val="28"/>
          <w:szCs w:val="28"/>
        </w:rPr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303030"/>
          <w:spacing w:val="0"/>
          <w:sz w:val="28"/>
          <w:szCs w:val="28"/>
        </w:rPr>
      </w:r>
    </w:p>
    <w:p>
      <w:pPr>
        <w:pStyle w:val="Style19"/>
        <w:widowControl/>
        <w:tabs>
          <w:tab w:val="clear" w:pos="322"/>
          <w:tab w:val="left" w:pos="0" w:leader="none"/>
        </w:tabs>
        <w:spacing w:before="0" w:after="150"/>
        <w:jc w:val="center"/>
        <w:rPr>
          <w:lang w:val="uk-UA" w:bidi="ar-SA"/>
        </w:rPr>
      </w:pPr>
      <w:r>
        <w:rPr/>
        <w:drawing>
          <wp:inline distT="0" distB="0" distL="0" distR="0">
            <wp:extent cx="5759450" cy="2701925"/>
            <wp:effectExtent l="0" t="0" r="0" b="0"/>
            <wp:docPr id="2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"/>
              </a:graphicData>
            </a:graphic>
          </wp:inline>
        </w:drawing>
      </w:r>
    </w:p>
    <w:p>
      <w:pPr>
        <w:pStyle w:val="Style19"/>
        <w:widowControl/>
        <w:spacing w:before="0" w:after="0"/>
        <w:ind w:left="0" w:right="0" w:hanging="0"/>
        <w:jc w:val="center"/>
        <w:rPr/>
      </w:pPr>
      <w:r>
        <w:rPr>
          <w:rStyle w:val="Style14"/>
          <w:b/>
          <w:i w:val="false"/>
          <w:caps w:val="false"/>
          <w:smallCaps w:val="false"/>
          <w:color w:val="000000"/>
          <w:spacing w:val="0"/>
          <w:sz w:val="28"/>
          <w:szCs w:val="28"/>
          <w:lang w:val="uk-UA" w:bidi="ar-SA"/>
        </w:rPr>
        <w:t>Запитувана інформація:</w:t>
      </w:r>
    </w:p>
    <w:p>
      <w:pPr>
        <w:pStyle w:val="Style19"/>
        <w:widowControl/>
        <w:bidi w:val="0"/>
        <w:spacing w:lineRule="auto" w:line="288" w:before="0" w:after="0"/>
        <w:ind w:left="624" w:right="0" w:hanging="0"/>
        <w:jc w:val="center"/>
        <w:rPr>
          <w:rStyle w:val="Style14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uk-UA" w:bidi="ar-SA"/>
        </w:rPr>
      </w:pPr>
      <w:r>
        <w:rPr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lang w:val="uk-UA" w:bidi="ar-SA"/>
        </w:rPr>
      </w:r>
    </w:p>
    <w:p>
      <w:pPr>
        <w:pStyle w:val="Style19"/>
        <w:widowControl/>
        <w:numPr>
          <w:ilvl w:val="0"/>
          <w:numId w:val="2"/>
        </w:numPr>
        <w:bidi w:val="0"/>
        <w:spacing w:lineRule="auto" w:line="288" w:before="0" w:after="0"/>
        <w:ind w:left="624" w:right="0" w:hanging="0"/>
        <w:jc w:val="left"/>
        <w:rPr/>
      </w:pPr>
      <w:r>
        <w:rPr>
          <w:rStyle w:val="Style14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lang w:val="uk-UA" w:bidi="ar-SA"/>
        </w:rPr>
        <w:t>Копії розпоряджень про викуп землі</w:t>
      </w:r>
    </w:p>
    <w:p>
      <w:pPr>
        <w:pStyle w:val="Style19"/>
        <w:widowControl/>
        <w:numPr>
          <w:ilvl w:val="0"/>
          <w:numId w:val="2"/>
        </w:numPr>
        <w:bidi w:val="0"/>
        <w:spacing w:lineRule="auto" w:line="288" w:before="0" w:after="0"/>
        <w:ind w:left="624" w:right="0" w:hanging="0"/>
        <w:jc w:val="left"/>
        <w:rPr/>
      </w:pPr>
      <w:r>
        <w:rPr>
          <w:rStyle w:val="Style14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lang w:val="uk-UA" w:bidi="ar-SA"/>
        </w:rPr>
        <w:t>Адреси об'єктів нерухомого комунального майна, яке можливо надати ВПО</w:t>
      </w:r>
    </w:p>
    <w:p>
      <w:pPr>
        <w:pStyle w:val="Style19"/>
        <w:widowControl/>
        <w:numPr>
          <w:ilvl w:val="0"/>
          <w:numId w:val="2"/>
        </w:numPr>
        <w:bidi w:val="0"/>
        <w:spacing w:lineRule="auto" w:line="288" w:before="0" w:after="0"/>
        <w:ind w:left="624" w:right="0" w:hanging="0"/>
        <w:jc w:val="left"/>
        <w:rPr/>
      </w:pPr>
      <w:r>
        <w:rPr>
          <w:rStyle w:val="Style14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lang w:val="uk-UA" w:bidi="ar-SA"/>
        </w:rPr>
        <w:t>Договір з “ТОВ Універсал-Сервіс ЛТД”</w:t>
      </w:r>
    </w:p>
    <w:p>
      <w:pPr>
        <w:pStyle w:val="Style19"/>
        <w:widowControl/>
        <w:numPr>
          <w:ilvl w:val="0"/>
          <w:numId w:val="2"/>
        </w:numPr>
        <w:bidi w:val="0"/>
        <w:spacing w:lineRule="auto" w:line="288" w:before="0" w:after="0"/>
        <w:ind w:left="624" w:right="0" w:hanging="0"/>
        <w:jc w:val="left"/>
        <w:rPr/>
      </w:pPr>
      <w:r>
        <w:rPr>
          <w:rStyle w:val="Style14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lang w:val="uk-UA" w:bidi="ar-SA"/>
        </w:rPr>
        <w:t>Перелік неурядових організацій з підтримки бізнесу, які діють у місті</w:t>
      </w:r>
    </w:p>
    <w:p>
      <w:pPr>
        <w:pStyle w:val="Style19"/>
        <w:widowControl/>
        <w:numPr>
          <w:ilvl w:val="0"/>
          <w:numId w:val="2"/>
        </w:numPr>
        <w:bidi w:val="0"/>
        <w:spacing w:lineRule="auto" w:line="288" w:before="0" w:after="0"/>
        <w:ind w:left="624" w:right="0" w:hanging="0"/>
        <w:jc w:val="left"/>
        <w:rPr/>
      </w:pPr>
      <w:r>
        <w:rPr>
          <w:rStyle w:val="Style14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lang w:val="uk-UA" w:bidi="ar-SA"/>
        </w:rPr>
        <w:t>Рішення стосовно орендної плати податку на землю та ставки податку на нерухоме майно</w:t>
      </w:r>
    </w:p>
    <w:p>
      <w:pPr>
        <w:pStyle w:val="Style19"/>
        <w:widowControl/>
        <w:numPr>
          <w:ilvl w:val="0"/>
          <w:numId w:val="2"/>
        </w:numPr>
        <w:bidi w:val="0"/>
        <w:spacing w:lineRule="auto" w:line="288" w:before="0" w:after="0"/>
        <w:ind w:left="624" w:right="0" w:hanging="0"/>
        <w:jc w:val="left"/>
        <w:rPr/>
      </w:pPr>
      <w:r>
        <w:rPr>
          <w:rStyle w:val="Style14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lang w:val="uk-UA" w:bidi="ar-SA"/>
        </w:rPr>
        <w:t>Про норми на одного хворого за кошти бюджету на харчування ветеранів за січень-березень 2020</w:t>
      </w:r>
    </w:p>
    <w:p>
      <w:pPr>
        <w:pStyle w:val="Style19"/>
        <w:widowControl/>
        <w:numPr>
          <w:ilvl w:val="0"/>
          <w:numId w:val="2"/>
        </w:numPr>
        <w:bidi w:val="0"/>
        <w:spacing w:lineRule="auto" w:line="288" w:before="0" w:after="0"/>
        <w:ind w:left="624" w:right="0" w:hanging="0"/>
        <w:jc w:val="left"/>
        <w:rPr/>
      </w:pPr>
      <w:r>
        <w:rPr>
          <w:rStyle w:val="Style14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lang w:val="uk-UA" w:bidi="ar-SA"/>
        </w:rPr>
        <w:t>Відомості про суму затвердженого бюджету на 2020 рік в розрізі навчальних закладів на видатки на придбання інтерактивного та комп’ютерного обладнання</w:t>
      </w:r>
    </w:p>
    <w:p>
      <w:pPr>
        <w:pStyle w:val="Style19"/>
        <w:widowControl/>
        <w:numPr>
          <w:ilvl w:val="0"/>
          <w:numId w:val="2"/>
        </w:numPr>
        <w:bidi w:val="0"/>
        <w:spacing w:lineRule="auto" w:line="288" w:before="0" w:after="0"/>
        <w:ind w:left="624" w:right="0" w:hanging="0"/>
        <w:jc w:val="left"/>
        <w:rPr/>
      </w:pPr>
      <w:r>
        <w:rPr>
          <w:rStyle w:val="Style14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lang w:val="uk-UA" w:bidi="ar-SA"/>
        </w:rPr>
        <w:t>Перелік назв та № будинків які діють на даний момент в межах сіл Миронівка, Улянівка, Шолохово</w:t>
      </w:r>
    </w:p>
    <w:p>
      <w:pPr>
        <w:pStyle w:val="Style19"/>
        <w:widowControl/>
        <w:numPr>
          <w:ilvl w:val="0"/>
          <w:numId w:val="2"/>
        </w:numPr>
        <w:bidi w:val="0"/>
        <w:spacing w:lineRule="auto" w:line="288" w:before="0" w:after="0"/>
        <w:ind w:left="624" w:right="0" w:hanging="0"/>
        <w:jc w:val="left"/>
        <w:rPr/>
      </w:pPr>
      <w:r>
        <w:rPr>
          <w:rStyle w:val="Style14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lang w:val="uk-UA" w:bidi="ar-SA"/>
        </w:rPr>
        <w:t>Перелік відповідальних за наповнення реєстру адрес МВС</w:t>
      </w:r>
    </w:p>
    <w:p>
      <w:pPr>
        <w:pStyle w:val="Style19"/>
        <w:widowControl/>
        <w:numPr>
          <w:ilvl w:val="0"/>
          <w:numId w:val="2"/>
        </w:numPr>
        <w:bidi w:val="0"/>
        <w:spacing w:lineRule="auto" w:line="288" w:before="0" w:after="0"/>
        <w:ind w:left="624" w:right="0" w:hanging="0"/>
        <w:jc w:val="left"/>
        <w:rPr/>
      </w:pPr>
      <w:r>
        <w:rPr>
          <w:rStyle w:val="Style14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lang w:val="uk-UA" w:bidi="ar-SA"/>
        </w:rPr>
        <w:t>Підстави для зміни назви міста Орджонікідзе на Покров.</w:t>
      </w:r>
    </w:p>
    <w:p>
      <w:pPr>
        <w:pStyle w:val="Style19"/>
        <w:widowControl/>
        <w:numPr>
          <w:ilvl w:val="0"/>
          <w:numId w:val="2"/>
        </w:numPr>
        <w:bidi w:val="0"/>
        <w:spacing w:lineRule="auto" w:line="288" w:before="0" w:after="0"/>
        <w:ind w:left="624" w:right="0" w:hanging="0"/>
        <w:jc w:val="left"/>
        <w:rPr/>
      </w:pPr>
      <w:r>
        <w:rPr>
          <w:rStyle w:val="Style14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lang w:val="uk-UA" w:bidi="ar-SA"/>
        </w:rPr>
        <w:t>Дорадчі органи при виконкомі, склад.</w:t>
      </w:r>
    </w:p>
    <w:p>
      <w:pPr>
        <w:pStyle w:val="Style19"/>
        <w:widowControl/>
        <w:numPr>
          <w:ilvl w:val="0"/>
          <w:numId w:val="2"/>
        </w:numPr>
        <w:bidi w:val="0"/>
        <w:spacing w:lineRule="auto" w:line="288" w:before="0" w:after="0"/>
        <w:ind w:left="624" w:right="0" w:hanging="0"/>
        <w:jc w:val="left"/>
        <w:rPr/>
      </w:pPr>
      <w:r>
        <w:rPr>
          <w:rStyle w:val="Style14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lang w:val="uk-UA" w:bidi="ar-SA"/>
        </w:rPr>
        <w:t>Щодо ліквідації ЖЕО в містах України</w:t>
      </w:r>
    </w:p>
    <w:p>
      <w:pPr>
        <w:pStyle w:val="Style19"/>
        <w:widowControl/>
        <w:numPr>
          <w:ilvl w:val="0"/>
          <w:numId w:val="2"/>
        </w:numPr>
        <w:bidi w:val="0"/>
        <w:spacing w:lineRule="auto" w:line="288" w:before="0" w:after="0"/>
        <w:ind w:left="624" w:right="0" w:hanging="0"/>
        <w:jc w:val="left"/>
        <w:rPr/>
      </w:pPr>
      <w:r>
        <w:rPr>
          <w:rStyle w:val="Style14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lang w:val="uk-UA" w:bidi="ar-SA"/>
        </w:rPr>
        <w:t>Щодо карантину та обмежень пов'язаних з ним для торговельної мережі</w:t>
      </w:r>
    </w:p>
    <w:p>
      <w:pPr>
        <w:pStyle w:val="Style19"/>
        <w:widowControl/>
        <w:numPr>
          <w:ilvl w:val="0"/>
          <w:numId w:val="2"/>
        </w:numPr>
        <w:bidi w:val="0"/>
        <w:spacing w:lineRule="auto" w:line="288" w:before="0" w:after="0"/>
        <w:ind w:left="624" w:right="0" w:hanging="0"/>
        <w:jc w:val="left"/>
        <w:rPr/>
      </w:pPr>
      <w:r>
        <w:rPr>
          <w:rStyle w:val="Style14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lang w:val="uk-UA" w:bidi="ar-SA"/>
        </w:rPr>
        <w:t>Інформація стосовно лікування хворих на психічно — поведінкові розлади в наслідок вживання опоїдів</w:t>
      </w:r>
    </w:p>
    <w:p>
      <w:pPr>
        <w:pStyle w:val="Style19"/>
        <w:widowControl/>
        <w:numPr>
          <w:ilvl w:val="0"/>
          <w:numId w:val="2"/>
        </w:numPr>
        <w:bidi w:val="0"/>
        <w:spacing w:lineRule="auto" w:line="288" w:before="0" w:after="0"/>
        <w:ind w:left="624" w:right="0" w:hanging="0"/>
        <w:jc w:val="left"/>
        <w:rPr/>
      </w:pPr>
      <w:r>
        <w:rPr>
          <w:rStyle w:val="Style14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lang w:val="uk-UA" w:bidi="ar-SA"/>
        </w:rPr>
        <w:t>Про мінімальну вартість місячної орендної плати 1 кв. метра нерухомого майна фізичних осіб.</w:t>
      </w:r>
    </w:p>
    <w:p>
      <w:pPr>
        <w:pStyle w:val="Style19"/>
        <w:widowControl/>
        <w:numPr>
          <w:ilvl w:val="0"/>
          <w:numId w:val="2"/>
        </w:numPr>
        <w:bidi w:val="0"/>
        <w:spacing w:lineRule="auto" w:line="288" w:before="0" w:after="0"/>
        <w:ind w:left="624" w:right="0" w:hanging="0"/>
        <w:jc w:val="left"/>
        <w:rPr/>
      </w:pPr>
      <w:r>
        <w:rPr>
          <w:rStyle w:val="Style14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lang w:val="uk-UA" w:bidi="ar-SA"/>
        </w:rPr>
        <w:t>Про повноваження у сфері дер.реєстрації речових прав</w:t>
      </w:r>
    </w:p>
    <w:p>
      <w:pPr>
        <w:pStyle w:val="Style19"/>
        <w:widowControl/>
        <w:numPr>
          <w:ilvl w:val="0"/>
          <w:numId w:val="2"/>
        </w:numPr>
        <w:bidi w:val="0"/>
        <w:spacing w:lineRule="auto" w:line="288" w:before="0" w:after="0"/>
        <w:ind w:left="624" w:right="0" w:hanging="0"/>
        <w:jc w:val="left"/>
        <w:rPr/>
      </w:pPr>
      <w:r>
        <w:rPr>
          <w:rStyle w:val="Style14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lang w:val="uk-UA" w:bidi="ar-SA"/>
        </w:rPr>
        <w:t>Перелік підприємств забруднювачів повітря</w:t>
      </w:r>
    </w:p>
    <w:p>
      <w:pPr>
        <w:pStyle w:val="Style19"/>
        <w:widowControl/>
        <w:numPr>
          <w:ilvl w:val="0"/>
          <w:numId w:val="2"/>
        </w:numPr>
        <w:bidi w:val="0"/>
        <w:spacing w:lineRule="auto" w:line="288" w:before="0" w:after="0"/>
        <w:ind w:left="624" w:right="0" w:hanging="0"/>
        <w:jc w:val="left"/>
        <w:rPr/>
      </w:pPr>
      <w:r>
        <w:rPr>
          <w:rStyle w:val="Style14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lang w:val="uk-UA" w:bidi="ar-SA"/>
        </w:rPr>
        <w:t>Перелік пам'ятників та меморіальних дошок</w:t>
      </w:r>
    </w:p>
    <w:p>
      <w:pPr>
        <w:pStyle w:val="Style19"/>
        <w:widowControl/>
        <w:numPr>
          <w:ilvl w:val="0"/>
          <w:numId w:val="2"/>
        </w:numPr>
        <w:bidi w:val="0"/>
        <w:spacing w:lineRule="auto" w:line="288" w:before="0" w:after="0"/>
        <w:ind w:left="624" w:right="0" w:hanging="0"/>
        <w:jc w:val="left"/>
        <w:rPr/>
      </w:pPr>
      <w:r>
        <w:rPr>
          <w:rStyle w:val="Style14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lang w:val="uk-UA" w:bidi="ar-SA"/>
        </w:rPr>
        <w:t xml:space="preserve">Щодо мирного зібрання </w:t>
      </w:r>
    </w:p>
    <w:p>
      <w:pPr>
        <w:pStyle w:val="Style19"/>
        <w:widowControl/>
        <w:numPr>
          <w:ilvl w:val="0"/>
          <w:numId w:val="2"/>
        </w:numPr>
        <w:bidi w:val="0"/>
        <w:spacing w:lineRule="auto" w:line="288" w:before="0" w:after="0"/>
        <w:ind w:left="624" w:right="0" w:hanging="0"/>
        <w:jc w:val="left"/>
        <w:rPr/>
      </w:pPr>
      <w:r>
        <w:rPr>
          <w:rStyle w:val="Style14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lang w:val="uk-UA" w:bidi="ar-SA"/>
        </w:rPr>
        <w:t xml:space="preserve">Діяльності що регулює вирішення питання з нестачею місць у дитячих садках. </w:t>
      </w:r>
    </w:p>
    <w:p>
      <w:pPr>
        <w:pStyle w:val="Style19"/>
        <w:widowControl/>
        <w:numPr>
          <w:ilvl w:val="0"/>
          <w:numId w:val="2"/>
        </w:numPr>
        <w:bidi w:val="0"/>
        <w:spacing w:lineRule="auto" w:line="288" w:before="0" w:after="0"/>
        <w:ind w:left="624" w:right="0" w:hanging="0"/>
        <w:jc w:val="left"/>
        <w:rPr/>
      </w:pPr>
      <w:r>
        <w:rPr>
          <w:rStyle w:val="Style14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lang w:val="uk-UA" w:bidi="ar-SA"/>
        </w:rPr>
        <w:t>Перелік житла державного чи громадського житлового фонду</w:t>
      </w:r>
    </w:p>
    <w:p>
      <w:pPr>
        <w:pStyle w:val="Style19"/>
        <w:widowControl/>
        <w:numPr>
          <w:ilvl w:val="0"/>
          <w:numId w:val="2"/>
        </w:numPr>
        <w:bidi w:val="0"/>
        <w:spacing w:lineRule="auto" w:line="288" w:before="0" w:after="0"/>
        <w:ind w:left="624" w:right="0" w:hanging="0"/>
        <w:jc w:val="left"/>
        <w:rPr/>
      </w:pPr>
      <w:r>
        <w:rPr>
          <w:rStyle w:val="Style14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lang w:val="uk-UA" w:bidi="ar-SA"/>
        </w:rPr>
        <w:t>Соціальний захист населення</w:t>
      </w:r>
    </w:p>
    <w:p>
      <w:pPr>
        <w:pStyle w:val="Style19"/>
        <w:widowControl/>
        <w:numPr>
          <w:ilvl w:val="0"/>
          <w:numId w:val="2"/>
        </w:numPr>
        <w:bidi w:val="0"/>
        <w:spacing w:lineRule="auto" w:line="288" w:before="0" w:after="0"/>
        <w:ind w:left="624" w:right="0" w:hanging="0"/>
        <w:jc w:val="left"/>
        <w:rPr/>
      </w:pPr>
      <w:r>
        <w:rPr>
          <w:rStyle w:val="Style14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lang w:val="uk-UA" w:bidi="ar-SA"/>
        </w:rPr>
        <w:t xml:space="preserve">Про  звітування міського голови Покрова за 2018 та 2019 роки. </w:t>
      </w:r>
    </w:p>
    <w:p>
      <w:pPr>
        <w:pStyle w:val="Style19"/>
        <w:widowControl/>
        <w:numPr>
          <w:ilvl w:val="0"/>
          <w:numId w:val="2"/>
        </w:numPr>
        <w:bidi w:val="0"/>
        <w:spacing w:lineRule="auto" w:line="288" w:before="0" w:after="0"/>
        <w:ind w:left="624" w:right="0" w:hanging="0"/>
        <w:jc w:val="left"/>
        <w:rPr/>
      </w:pPr>
      <w:r>
        <w:rPr>
          <w:rStyle w:val="Style14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lang w:val="uk-UA" w:bidi="ar-SA"/>
        </w:rPr>
        <w:t>Допомога організаціям громадського суспільства</w:t>
      </w:r>
    </w:p>
    <w:p>
      <w:pPr>
        <w:pStyle w:val="Style19"/>
        <w:widowControl/>
        <w:numPr>
          <w:ilvl w:val="0"/>
          <w:numId w:val="2"/>
        </w:numPr>
        <w:bidi w:val="0"/>
        <w:spacing w:lineRule="auto" w:line="288" w:before="0" w:after="0"/>
        <w:ind w:left="624" w:right="0" w:hanging="0"/>
        <w:jc w:val="left"/>
        <w:rPr/>
      </w:pPr>
      <w:r>
        <w:rPr>
          <w:rStyle w:val="Style14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lang w:val="uk-UA" w:bidi="ar-SA"/>
        </w:rPr>
        <w:t>План реалізації Комунікаційної стратегії</w:t>
      </w:r>
    </w:p>
    <w:p>
      <w:pPr>
        <w:pStyle w:val="Style19"/>
        <w:widowControl/>
        <w:numPr>
          <w:ilvl w:val="0"/>
          <w:numId w:val="2"/>
        </w:numPr>
        <w:bidi w:val="0"/>
        <w:spacing w:lineRule="auto" w:line="288" w:before="0" w:after="0"/>
        <w:ind w:left="624" w:right="0" w:hanging="0"/>
        <w:jc w:val="left"/>
        <w:rPr/>
      </w:pPr>
      <w:r>
        <w:rPr>
          <w:rStyle w:val="Style14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lang w:val="uk-UA" w:bidi="ar-SA"/>
        </w:rPr>
        <w:t>Про меморіал воїнів — визволителів</w:t>
      </w:r>
    </w:p>
    <w:p>
      <w:pPr>
        <w:pStyle w:val="Style19"/>
        <w:widowControl/>
        <w:numPr>
          <w:ilvl w:val="0"/>
          <w:numId w:val="2"/>
        </w:numPr>
        <w:bidi w:val="0"/>
        <w:spacing w:lineRule="auto" w:line="288" w:before="0" w:after="0"/>
        <w:ind w:left="624" w:right="0" w:hanging="0"/>
        <w:jc w:val="left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5805170</wp:posOffset>
            </wp:positionH>
            <wp:positionV relativeFrom="paragraph">
              <wp:posOffset>73025</wp:posOffset>
            </wp:positionV>
            <wp:extent cx="1270000" cy="1546860"/>
            <wp:effectExtent l="0" t="0" r="0" b="0"/>
            <wp:wrapSquare wrapText="largest"/>
            <wp:docPr id="3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tyle14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lang w:val="uk-UA" w:bidi="ar-SA"/>
        </w:rPr>
        <w:t>П</w:t>
      </w:r>
      <w:r>
        <w:rPr>
          <w:rStyle w:val="Style14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lang w:val="uk-UA" w:bidi="ar-SA"/>
        </w:rPr>
        <w:t>ро земельну ділянку та її використання</w:t>
      </w:r>
    </w:p>
    <w:p>
      <w:pPr>
        <w:pStyle w:val="Style19"/>
        <w:widowControl/>
        <w:numPr>
          <w:ilvl w:val="0"/>
          <w:numId w:val="2"/>
        </w:numPr>
        <w:bidi w:val="0"/>
        <w:spacing w:lineRule="auto" w:line="288" w:before="0" w:after="0"/>
        <w:ind w:left="624" w:right="0" w:hanging="0"/>
        <w:jc w:val="left"/>
        <w:rPr/>
      </w:pPr>
      <w:r>
        <w:rPr>
          <w:rStyle w:val="Style14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  <w:lang w:val="uk-UA" w:bidi="ar-SA"/>
        </w:rPr>
        <w:t xml:space="preserve">Щодо будівництва садочка </w:t>
      </w:r>
    </w:p>
    <w:p>
      <w:pPr>
        <w:pStyle w:val="Normal"/>
        <w:widowControl/>
        <w:tabs>
          <w:tab w:val="clear" w:pos="322"/>
          <w:tab w:val="left" w:pos="0" w:leader="none"/>
        </w:tabs>
        <w:spacing w:lineRule="exact" w:line="500" w:before="0" w:after="0"/>
        <w:ind w:hanging="0"/>
        <w:jc w:val="both"/>
        <w:rPr>
          <w:lang w:val="uk-UA" w:bidi="ar-SA"/>
        </w:rPr>
      </w:pPr>
      <w:r>
        <w:rPr>
          <w:sz w:val="28"/>
          <w:szCs w:val="28"/>
          <w:lang w:val="uk-UA" w:bidi="ar-SA"/>
        </w:rPr>
        <w:t xml:space="preserve">            </w:t>
      </w:r>
      <w:r>
        <w:rPr>
          <w:sz w:val="28"/>
          <w:szCs w:val="28"/>
          <w:lang w:val="uk-UA" w:bidi="ar-SA"/>
        </w:rPr>
        <w:t xml:space="preserve">У І півріччі 2020 року надано відповідь на 36 запитів на інформацію.    </w:t>
      </w:r>
    </w:p>
    <w:p>
      <w:pPr>
        <w:pStyle w:val="Normal"/>
        <w:widowControl/>
        <w:tabs>
          <w:tab w:val="clear" w:pos="322"/>
          <w:tab w:val="left" w:pos="0" w:leader="none"/>
        </w:tabs>
        <w:spacing w:lineRule="exact" w:line="500" w:before="0" w:after="0"/>
        <w:ind w:hanging="0"/>
        <w:jc w:val="both"/>
        <w:rPr>
          <w:lang w:val="uk-UA" w:bidi="ar-SA"/>
        </w:rPr>
      </w:pPr>
      <w:r>
        <w:rPr>
          <w:sz w:val="28"/>
          <w:szCs w:val="28"/>
          <w:lang w:val="uk-UA" w:bidi="ar-SA"/>
        </w:rPr>
        <w:t xml:space="preserve">            </w:t>
      </w:r>
      <w:r>
        <w:rPr>
          <w:sz w:val="28"/>
          <w:szCs w:val="28"/>
          <w:lang w:val="uk-UA" w:bidi="ar-SA"/>
        </w:rPr>
        <w:t xml:space="preserve">Відмовлено в отриманні  інформації по 5 запитах. </w:t>
      </w:r>
    </w:p>
    <w:p>
      <w:pPr>
        <w:pStyle w:val="Normal"/>
        <w:widowControl/>
        <w:tabs>
          <w:tab w:val="clear" w:pos="322"/>
          <w:tab w:val="left" w:pos="0" w:leader="none"/>
        </w:tabs>
        <w:spacing w:lineRule="exact" w:line="500" w:before="0" w:after="0"/>
        <w:ind w:hanging="0"/>
        <w:jc w:val="both"/>
        <w:rPr>
          <w:lang w:val="uk-UA" w:bidi="ar-SA"/>
        </w:rPr>
      </w:pPr>
      <w:r>
        <w:rPr>
          <w:sz w:val="28"/>
          <w:szCs w:val="28"/>
          <w:lang w:val="uk-UA" w:bidi="ar-SA"/>
        </w:rPr>
        <w:t xml:space="preserve">            </w:t>
      </w:r>
      <w:r>
        <w:rPr>
          <w:sz w:val="28"/>
          <w:szCs w:val="28"/>
          <w:lang w:val="uk-UA" w:bidi="ar-SA"/>
        </w:rPr>
        <w:t>Направлено за належністю 1 запит.</w:t>
      </w:r>
    </w:p>
    <w:p>
      <w:pPr>
        <w:pStyle w:val="Normal"/>
        <w:widowControl/>
        <w:tabs>
          <w:tab w:val="clear" w:pos="322"/>
          <w:tab w:val="left" w:pos="0" w:leader="none"/>
        </w:tabs>
        <w:spacing w:before="0" w:after="0"/>
        <w:ind w:hanging="0"/>
        <w:jc w:val="both"/>
        <w:rPr>
          <w:sz w:val="28"/>
          <w:szCs w:val="28"/>
        </w:rPr>
      </w:pPr>
      <w:r>
        <w:rPr/>
      </w:r>
    </w:p>
    <w:sectPr>
      <w:type w:val="nextPage"/>
      <w:pgSz w:w="11906" w:h="16838"/>
      <w:pgMar w:left="567" w:right="567" w:header="0" w:top="567" w:footer="0" w:bottom="567" w:gutter="0"/>
      <w:pgNumType w:fmt="decimal"/>
      <w:formProt w:val="false"/>
      <w:textDirection w:val="lrTb"/>
      <w:docGrid w:type="default" w:linePitch="360" w:charSpace="163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Roboto">
    <w:altName w:val="sans-serif"/>
    <w:charset w:val="01"/>
    <w:family w:val="roman"/>
    <w:pitch w:val="variable"/>
  </w:font>
  <w:font w:name="Symbol">
    <w:charset w:val="02"/>
    <w:family w:val="auto"/>
    <w:pitch w:val="default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suff w:val="nothing"/>
      <w:lvlText w:val=""/>
      <w:lvlJc w:val="left"/>
      <w:pPr>
        <w:ind w:left="707" w:hanging="0"/>
      </w:pPr>
      <w:rPr>
        <w:rFonts w:ascii="Symbol" w:hAnsi="Symbol" w:cs="Symbol" w:hint="default"/>
        <w:sz w:val="26"/>
        <w:b w:val="false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2"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rFonts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rFonts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rFonts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rFonts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rFonts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rFonts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rFonts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rFonts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rFonts w:cs="OpenSymbol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322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uk-UA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b0260"/>
    <w:pPr>
      <w:widowControl w:val="false"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A"/>
      <w:kern w:val="0"/>
      <w:sz w:val="20"/>
      <w:szCs w:val="20"/>
      <w:lang w:val="uk-UA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Выделение жирным"/>
    <w:qFormat/>
    <w:rPr>
      <w:b/>
      <w:bCs/>
    </w:rPr>
  </w:style>
  <w:style w:type="character" w:styleId="Style15">
    <w:name w:val="Маркеры списка"/>
    <w:qFormat/>
    <w:rPr>
      <w:rFonts w:ascii="OpenSymbol" w:hAnsi="OpenSymbol" w:eastAsia="OpenSymbol" w:cs="OpenSymbol"/>
    </w:rPr>
  </w:style>
  <w:style w:type="character" w:styleId="Style16">
    <w:name w:val="Интернет-ссылка"/>
    <w:qFormat/>
    <w:rPr>
      <w:color w:val="000080"/>
      <w:u w:val="single"/>
      <w:lang w:val="zxx" w:eastAsia="zxx" w:bidi="zxx"/>
    </w:rPr>
  </w:style>
  <w:style w:type="character" w:styleId="Style17">
    <w:name w:val="Маркери списку"/>
    <w:qFormat/>
    <w:rPr>
      <w:rFonts w:ascii="OpenSymbol" w:hAnsi="OpenSymbol" w:eastAsia="OpenSymbol" w:cs="OpenSymbol"/>
    </w:rPr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Style19">
    <w:name w:val="Body Text"/>
    <w:basedOn w:val="Normal"/>
    <w:pPr>
      <w:spacing w:lineRule="auto" w:line="288" w:before="0" w:after="140"/>
    </w:pPr>
    <w:rPr/>
  </w:style>
  <w:style w:type="paragraph" w:styleId="Style20">
    <w:name w:val="List"/>
    <w:basedOn w:val="Style19"/>
    <w:pPr/>
    <w:rPr>
      <w:rFonts w:cs="FreeSans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2">
    <w:name w:val="Покажчик"/>
    <w:basedOn w:val="Normal"/>
    <w:qFormat/>
    <w:pPr>
      <w:suppressLineNumbers/>
    </w:pPr>
    <w:rPr>
      <w:rFonts w:cs="Lohit Devanagari"/>
    </w:rPr>
  </w:style>
  <w:style w:type="paragraph" w:styleId="Style23">
    <w:name w:val="Указатель"/>
    <w:basedOn w:val="Normal"/>
    <w:qFormat/>
    <w:pPr>
      <w:suppressLineNumbers/>
    </w:pPr>
    <w:rPr>
      <w:rFonts w:cs="FreeSans"/>
    </w:rPr>
  </w:style>
  <w:style w:type="paragraph" w:styleId="ListParagraph">
    <w:name w:val="List Paragraph"/>
    <w:basedOn w:val="Normal"/>
    <w:uiPriority w:val="34"/>
    <w:qFormat/>
    <w:rsid w:val="00734516"/>
    <w:pPr>
      <w:spacing w:before="0" w:after="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rsid w:val="005a59be"/>
    <w:pPr>
      <w:spacing w:after="0" w:line="240" w:lineRule="auto"/>
    </w:pPr>
    <w:rPr>
      <w:lang w:val="ru-RU" w:eastAsia="ru-RU"/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chart" Target="charts/chart1.xml"/><Relationship Id="rId3" Type="http://schemas.openxmlformats.org/officeDocument/2006/relationships/chart" Target="charts/chart2.xml"/><Relationship Id="rId4" Type="http://schemas.openxmlformats.org/officeDocument/2006/relationships/image" Target="media/image1.pn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autoTitleDeleted val="1"/>
    <c:plotArea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Електроной поштой</c:v>
                </c:pt>
              </c:strCache>
            </c:strRef>
          </c:tx>
          <c:spPr>
            <a:solidFill>
              <a:srgbClr val="004586"/>
            </a:solidFill>
            <a:ln>
              <a:noFill/>
            </a:ln>
          </c:spPr>
          <c:invertIfNegative val="0"/>
          <c:dLbls>
            <c:txPr>
              <a:bodyPr/>
              <a:lstStyle/>
              <a:p>
                <a:pPr>
                  <a:defRPr b="0" sz="1000" spc="-1" strike="noStrike">
                    <a:solidFill>
                      <a:srgbClr val="000000"/>
                    </a:solidFill>
                    <a:latin typeface="Calibri"/>
                  </a:defRPr>
                </a:pPr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eparator>; </c:separator>
            <c:showLeaderLines val="0"/>
          </c:dLbls>
          <c:cat>
            <c:strRef>
              <c:f>categories</c:f>
              <c:strCache>
                <c:ptCount val="1"/>
                <c:pt idx="0">
                  <c:v/>
                </c:pt>
              </c:strCache>
            </c:strRef>
          </c:cat>
          <c:val>
            <c:numRef>
              <c:f>0</c:f>
              <c:numCache>
                <c:formatCode>General</c:formatCode>
                <c:ptCount val="1"/>
                <c:pt idx="0">
                  <c:v>32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особисто</c:v>
                </c:pt>
              </c:strCache>
            </c:strRef>
          </c:tx>
          <c:spPr>
            <a:solidFill>
              <a:srgbClr val="ff420e"/>
            </a:solidFill>
            <a:ln>
              <a:noFill/>
            </a:ln>
          </c:spPr>
          <c:invertIfNegative val="0"/>
          <c:dLbls>
            <c:txPr>
              <a:bodyPr/>
              <a:lstStyle/>
              <a:p>
                <a:pPr>
                  <a:defRPr b="0" sz="1000" spc="-1" strike="noStrike">
                    <a:solidFill>
                      <a:srgbClr val="000000"/>
                    </a:solidFill>
                    <a:latin typeface="Calibri"/>
                  </a:defRPr>
                </a:pPr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eparator>; </c:separator>
            <c:showLeaderLines val="0"/>
          </c:dLbls>
          <c:cat>
            <c:strRef>
              <c:f>categories</c:f>
              <c:strCache>
                <c:ptCount val="1"/>
                <c:pt idx="0">
                  <c:v/>
                </c:pt>
              </c:strCache>
            </c:strRef>
          </c:cat>
          <c:val>
            <c:numRef>
              <c:f>1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поштой</c:v>
                </c:pt>
              </c:strCache>
            </c:strRef>
          </c:tx>
          <c:spPr>
            <a:solidFill>
              <a:srgbClr val="ffd320"/>
            </a:solidFill>
            <a:ln>
              <a:noFill/>
            </a:ln>
          </c:spPr>
          <c:invertIfNegative val="0"/>
          <c:dLbls>
            <c:txPr>
              <a:bodyPr/>
              <a:lstStyle/>
              <a:p>
                <a:pPr>
                  <a:defRPr b="0" sz="1000" spc="-1" strike="noStrike">
                    <a:solidFill>
                      <a:srgbClr val="000000"/>
                    </a:solidFill>
                    <a:latin typeface="Calibri"/>
                  </a:defRPr>
                </a:pPr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eparator>; </c:separator>
            <c:showLeaderLines val="0"/>
          </c:dLbls>
          <c:cat>
            <c:strRef>
              <c:f>categories</c:f>
              <c:strCache>
                <c:ptCount val="1"/>
                <c:pt idx="0">
                  <c:v/>
                </c:pt>
              </c:strCache>
            </c:strRef>
          </c:cat>
          <c:val>
            <c:numRef>
              <c:f>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gapWidth val="100"/>
        <c:overlap val="0"/>
        <c:axId val="50583155"/>
        <c:axId val="26073790"/>
      </c:barChart>
      <c:catAx>
        <c:axId val="50583155"/>
        <c:scaling>
          <c:orientation val="minMax"/>
        </c:scaling>
        <c:delete val="1"/>
        <c:axPos val="b"/>
        <c:numFmt formatCode="[$-422]dd/mm/yyyy" sourceLinked="1"/>
        <c:majorTickMark val="out"/>
        <c:minorTickMark val="none"/>
        <c:tickLblPos val="nextTo"/>
        <c:spPr>
          <a:ln w="9360">
            <a:solidFill>
              <a:srgbClr val="b3b3b3"/>
            </a:solidFill>
            <a:round/>
          </a:ln>
        </c:spPr>
        <c:txPr>
          <a:bodyPr/>
          <a:lstStyle/>
          <a:p>
            <a:pPr>
              <a:defRPr b="0" lang="uk-UA" sz="1000" spc="-1" strike="noStrike">
                <a:solidFill>
                  <a:srgbClr val="000000"/>
                </a:solidFill>
                <a:latin typeface="Arial"/>
              </a:defRPr>
            </a:pPr>
          </a:p>
        </c:txPr>
        <c:crossAx val="26073790"/>
        <c:auto val="1"/>
        <c:lblAlgn val="ctr"/>
        <c:lblOffset val="100"/>
        <c:noMultiLvlLbl val="0"/>
      </c:catAx>
      <c:valAx>
        <c:axId val="26073790"/>
        <c:scaling>
          <c:orientation val="minMax"/>
        </c:scaling>
        <c:delete val="0"/>
        <c:axPos val="l"/>
        <c:majorGridlines>
          <c:spPr>
            <a:ln w="9360">
              <a:solidFill>
                <a:srgbClr val="b3b3b3"/>
              </a:solidFill>
              <a:round/>
            </a:ln>
          </c:spPr>
        </c:majorGridlines>
        <c:numFmt formatCode="General" sourceLinked="0"/>
        <c:majorTickMark val="out"/>
        <c:minorTickMark val="none"/>
        <c:tickLblPos val="nextTo"/>
        <c:spPr>
          <a:ln w="9360">
            <a:solidFill>
              <a:srgbClr val="b3b3b3"/>
            </a:solidFill>
            <a:round/>
          </a:ln>
        </c:spPr>
        <c:txPr>
          <a:bodyPr/>
          <a:lstStyle/>
          <a:p>
            <a:pPr>
              <a:defRPr b="0" lang="uk-UA" sz="1000" spc="-1" strike="noStrike">
                <a:solidFill>
                  <a:srgbClr val="000000"/>
                </a:solidFill>
                <a:latin typeface="Arial"/>
              </a:defRPr>
            </a:pPr>
          </a:p>
        </c:txPr>
        <c:crossAx val="50583155"/>
        <c:crosses val="autoZero"/>
        <c:crossBetween val="between"/>
      </c:valAx>
      <c:spPr>
        <a:noFill/>
        <a:ln>
          <a:solidFill>
            <a:srgbClr val="b3b3b3"/>
          </a:solidFill>
        </a:ln>
      </c:spPr>
    </c:plotArea>
    <c:legend>
      <c:legendPos val="r"/>
      <c:overlay val="0"/>
      <c:spPr>
        <a:noFill/>
        <a:ln>
          <a:noFill/>
        </a:ln>
      </c:spPr>
      <c:txPr>
        <a:bodyPr/>
        <a:lstStyle/>
        <a:p>
          <a:pPr>
            <a:defRPr b="0" lang="uk-UA" sz="1000" spc="-1" strike="noStrike">
              <a:solidFill>
                <a:srgbClr val="000000"/>
              </a:solidFill>
              <a:latin typeface="Calibri"/>
            </a:defRPr>
          </a:pPr>
        </a:p>
      </c:txPr>
    </c:legend>
    <c:plotVisOnly val="1"/>
    <c:dispBlanksAs val="gap"/>
  </c:chart>
  <c:spPr>
    <a:noFill/>
    <a:ln w="9360">
      <a:noFill/>
    </a:ln>
  </c:spPr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autoTitleDeleted val="1"/>
    <c:plotArea>
      <c:pie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Столбец 3</c:v>
                </c:pt>
              </c:strCache>
            </c:strRef>
          </c:tx>
          <c:spPr>
            <a:solidFill>
              <a:srgbClr val="004586"/>
            </a:solidFill>
            <a:ln>
              <a:noFill/>
            </a:ln>
          </c:spPr>
          <c:explosion val="0"/>
          <c:dPt>
            <c:idx val="0"/>
            <c:spPr>
              <a:solidFill>
                <a:srgbClr val="004586"/>
              </a:solidFill>
              <a:ln>
                <a:noFill/>
              </a:ln>
            </c:spPr>
          </c:dPt>
          <c:dPt>
            <c:idx val="1"/>
            <c:spPr>
              <a:solidFill>
                <a:srgbClr val="ff420e"/>
              </a:solidFill>
              <a:ln>
                <a:noFill/>
              </a:ln>
            </c:spPr>
          </c:dPt>
          <c:dPt>
            <c:idx val="2"/>
            <c:spPr>
              <a:solidFill>
                <a:srgbClr val="ffd320"/>
              </a:solidFill>
              <a:ln>
                <a:noFill/>
              </a:ln>
            </c:spPr>
          </c:dPt>
          <c:dLbls>
            <c:numFmt formatCode="General" sourceLinked="1"/>
            <c:dLbl>
              <c:idx val="0"/>
              <c:numFmt formatCode="General" sourceLinked="1"/>
              <c:txPr>
                <a:bodyPr/>
                <a:lstStyle/>
                <a:p>
                  <a:pPr>
                    <a:defRPr b="0" sz="1000" spc="-1" strike="noStrik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eparator>; </c:separator>
            </c:dLbl>
            <c:dLbl>
              <c:idx val="1"/>
              <c:numFmt formatCode="General" sourceLinked="1"/>
              <c:txPr>
                <a:bodyPr/>
                <a:lstStyle/>
                <a:p>
                  <a:pPr>
                    <a:defRPr b="0" sz="1000" spc="-1" strike="noStrik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eparator>; </c:separator>
            </c:dLbl>
            <c:dLbl>
              <c:idx val="2"/>
              <c:numFmt formatCode="General" sourceLinked="1"/>
              <c:txPr>
                <a:bodyPr/>
                <a:lstStyle/>
                <a:p>
                  <a:pPr>
                    <a:defRPr b="0" sz="1000" spc="-1" strike="noStrike">
                      <a:solidFill>
                        <a:srgbClr val="000000"/>
                      </a:solidFill>
                      <a:latin typeface="Calibri"/>
                    </a:defRPr>
                  </a:pPr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eparator>; </c:separator>
            </c:dLbl>
            <c:txPr>
              <a:bodyPr/>
              <a:lstStyle/>
              <a:p>
                <a:pPr>
                  <a:defRPr b="0" sz="1000" spc="-1" strike="noStrike">
                    <a:solidFill>
                      <a:srgbClr val="000000"/>
                    </a:solidFill>
                    <a:latin typeface="Calibri"/>
                  </a:defRPr>
                </a:pPr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eparator>; </c:separator>
            <c:showLeaderLines val="0"/>
          </c:dLbls>
          <c:cat>
            <c:strRef>
              <c:f>categories</c:f>
              <c:strCache>
                <c:ptCount val="3"/>
                <c:pt idx="0">
                  <c:v>Юридичні особи</c:v>
                </c:pt>
                <c:pt idx="1">
                  <c:v>Фізичні особи</c:v>
                </c:pt>
                <c:pt idx="2">
                  <c:v>Громадські обʼєднання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3"/>
                <c:pt idx="0">
                  <c:v>13.89</c:v>
                </c:pt>
                <c:pt idx="1">
                  <c:v>66.67</c:v>
                </c:pt>
                <c:pt idx="2">
                  <c:v>19.44</c:v>
                </c:pt>
              </c:numCache>
            </c:numRef>
          </c:val>
        </c:ser>
        <c:firstSliceAng val="0"/>
      </c:pieChart>
      <c:spPr>
        <a:noFill/>
        <a:ln>
          <a:noFill/>
        </a:ln>
      </c:spPr>
    </c:plotArea>
    <c:legend>
      <c:legendPos val="r"/>
      <c:overlay val="0"/>
      <c:spPr>
        <a:noFill/>
        <a:ln>
          <a:noFill/>
        </a:ln>
      </c:spPr>
      <c:txPr>
        <a:bodyPr/>
        <a:lstStyle/>
        <a:p>
          <a:pPr>
            <a:defRPr b="0" lang="uk-UA" sz="1000" spc="-1" strike="noStrike">
              <a:solidFill>
                <a:srgbClr val="000000"/>
              </a:solidFill>
              <a:latin typeface="Calibri"/>
            </a:defRPr>
          </a:pPr>
        </a:p>
      </c:txPr>
    </c:legend>
    <c:plotVisOnly val="1"/>
    <c:dispBlanksAs val="zero"/>
  </c:chart>
  <c:spPr>
    <a:noFill/>
    <a:ln w="9360">
      <a:noFill/>
    </a:ln>
  </c:spPr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E63E1-DDFB-4DCC-9761-4822C4A13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Application>LibreOffice/6.4.3.2$Linux_X86_64 LibreOffice_project/747b5d0ebf89f41c860ec2a39efd7cb15b54f2d8</Application>
  <Pages>2</Pages>
  <Words>376</Words>
  <Characters>2177</Characters>
  <CharactersWithSpaces>2775</CharactersWithSpaces>
  <Paragraphs>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2017-07-03T06:39:00Z</dcterms:created>
  <dc:creator>admin</dc:creator>
  <dc:description/>
  <dc:language>ru-RU</dc:language>
  <cp:lastModifiedBy/>
  <cp:lastPrinted>2020-07-01T16:03:58Z</cp:lastPrinted>
  <dcterms:modified xsi:type="dcterms:W3CDTF">2020-07-02T08:33:59Z</dcterms:modified>
  <cp:revision>44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