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before="0" w:after="0"/>
        <w:jc w:val="center"/>
        <w:rPr/>
      </w:pPr>
      <w:r>
        <w:rPr>
          <w:lang w:val="uk-UA"/>
        </w:rPr>
        <w:t xml:space="preserve">                                                                                                            </w:t>
      </w:r>
      <w:r>
        <w:rPr>
          <w:b/>
          <w:bCs/>
          <w:lang w:val="uk-UA"/>
        </w:rPr>
        <w:t xml:space="preserve">                                    </w:t>
      </w:r>
    </w:p>
    <w:p>
      <w:pPr>
        <w:pStyle w:val="Style15"/>
        <w:bidi w:val="0"/>
        <w:spacing w:before="0" w:after="0"/>
        <w:jc w:val="center"/>
        <w:rPr/>
      </w:pPr>
      <w:r>
        <w:drawing>
          <wp:anchor behindDoc="1" distT="0" distB="0" distL="114935" distR="114935" simplePos="0" locked="0" layoutInCell="0" allowOverlap="1" relativeHeight="2">
            <wp:simplePos x="0" y="0"/>
            <wp:positionH relativeFrom="column">
              <wp:posOffset>2844800</wp:posOffset>
            </wp:positionH>
            <wp:positionV relativeFrom="paragraph">
              <wp:posOffset>-623570</wp:posOffset>
            </wp:positionV>
            <wp:extent cx="426720" cy="607060"/>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rFonts w:cs="Times New Roman"/>
          <w:b/>
          <w:bCs/>
          <w:sz w:val="28"/>
          <w:szCs w:val="28"/>
          <w:lang w:val="uk-UA"/>
        </w:rPr>
        <w:t>П</w:t>
      </w:r>
      <w:r>
        <w:rPr>
          <w:rFonts w:cs="Times New Roman"/>
          <w:b/>
          <w:bCs/>
          <w:sz w:val="28"/>
          <w:szCs w:val="28"/>
          <w:lang w:val="uk-UA"/>
        </w:rPr>
        <w:t>ОКРОВСЬКА МІСЬКА РАДА</w:t>
      </w:r>
    </w:p>
    <w:p>
      <w:pPr>
        <w:pStyle w:val="Style15"/>
        <w:bidi w:val="0"/>
        <w:spacing w:before="0" w:after="0"/>
        <w:jc w:val="center"/>
        <w:rPr/>
      </w:pPr>
      <w:r>
        <w:rPr>
          <w:rFonts w:cs="Times New Roman"/>
          <w:b/>
          <w:bCs/>
          <w:sz w:val="28"/>
          <w:szCs w:val="28"/>
          <w:lang w:val="uk-UA"/>
        </w:rPr>
        <w:t>ДНІПРОПЕТРОВСЬКОЇ ОБЛАСТІ</w:t>
      </w:r>
    </w:p>
    <w:p>
      <w:pPr>
        <w:pStyle w:val="Style15"/>
        <w:bidi w:val="0"/>
        <w:spacing w:before="0" w:after="0"/>
        <w:jc w:val="center"/>
        <w:rPr/>
      </w:pPr>
      <w:r>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44450</wp:posOffset>
                </wp:positionV>
                <wp:extent cx="6122670" cy="17145"/>
                <wp:effectExtent l="0" t="0" r="0" b="0"/>
                <wp:wrapNone/>
                <wp:docPr id="2" name="Фігура1"/>
                <a:graphic xmlns:a="http://schemas.openxmlformats.org/drawingml/2006/main">
                  <a:graphicData uri="http://schemas.microsoft.com/office/word/2010/wordprocessingShape">
                    <wps:wsp>
                      <wps:cNvSpPr/>
                      <wps:spPr>
                        <a:xfrm flipV="1">
                          <a:off x="0" y="0"/>
                          <a:ext cx="612216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3.5pt" to="483.3pt,4.25pt" ID="Фігура1" stroked="t" style="position:absolute;flip:y">
                <v:stroke color="black" weight="17640" joinstyle="round" endcap="flat"/>
                <v:fill o:detectmouseclick="t" on="false"/>
              </v:line>
            </w:pict>
          </mc:Fallback>
        </mc:AlternateContent>
      </w:r>
    </w:p>
    <w:p>
      <w:pPr>
        <w:pStyle w:val="Style15"/>
        <w:bidi w:val="0"/>
        <w:spacing w:before="0" w:after="0"/>
        <w:jc w:val="center"/>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bidi w:val="0"/>
        <w:spacing w:before="0" w:after="0"/>
        <w:ind w:left="0" w:right="0" w:hanging="0"/>
        <w:jc w:val="both"/>
        <w:rPr/>
      </w:pPr>
      <w:r>
        <w:rPr>
          <w:b/>
          <w:bCs/>
          <w:sz w:val="28"/>
          <w:szCs w:val="28"/>
          <w:lang w:val="uk-UA"/>
        </w:rPr>
        <w:t xml:space="preserve">                                                  </w:t>
      </w:r>
      <w:r>
        <w:rPr>
          <w:b w:val="false"/>
          <w:bCs w:val="false"/>
          <w:sz w:val="28"/>
          <w:szCs w:val="28"/>
          <w:lang w:val="uk-UA"/>
        </w:rPr>
        <w:t xml:space="preserve">  </w:t>
      </w:r>
      <w:r>
        <w:rPr>
          <w:b w:val="false"/>
          <w:bCs w:val="false"/>
          <w:sz w:val="28"/>
          <w:szCs w:val="28"/>
          <w:lang w:val="uk-UA"/>
        </w:rPr>
        <w:t>(__ сесія 8 скликання)</w:t>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both"/>
        <w:rPr/>
      </w:pPr>
      <w:r>
        <w:rPr>
          <w:sz w:val="28"/>
          <w:szCs w:val="28"/>
        </w:rPr>
        <w:t xml:space="preserve">Про встановлення податку на нерухоме </w:t>
      </w:r>
    </w:p>
    <w:p>
      <w:pPr>
        <w:pStyle w:val="Normal"/>
        <w:spacing w:lineRule="auto" w:line="240" w:before="0" w:after="0"/>
        <w:jc w:val="both"/>
        <w:rPr/>
      </w:pPr>
      <w:r>
        <w:rPr>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 xml:space="preserve">З метою наповнення дохідної частини міського бюджету, керуючись статтями 12, 266 Податкового кодексу України, пунктом 24 </w:t>
      </w:r>
      <w:r>
        <w:rPr>
          <w:rFonts w:eastAsia="Andale Sans UI;Arial Unicode MS" w:cs="Tahoma"/>
          <w:color w:val="auto"/>
          <w:kern w:val="2"/>
          <w:sz w:val="28"/>
          <w:szCs w:val="28"/>
          <w:lang w:val="zxx" w:eastAsia="zxx" w:bidi="zxx"/>
        </w:rPr>
        <w:t>частини</w:t>
      </w:r>
      <w:r>
        <w:rPr>
          <w:sz w:val="28"/>
          <w:szCs w:val="28"/>
        </w:rPr>
        <w:t xml:space="preserve">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pPr>
      <w:r>
        <w:rPr>
          <w:b/>
          <w:sz w:val="28"/>
          <w:szCs w:val="28"/>
        </w:rPr>
        <w:t>ВИРІШИЛА:</w:t>
      </w:r>
    </w:p>
    <w:p>
      <w:pPr>
        <w:pStyle w:val="Normal"/>
        <w:spacing w:lineRule="auto" w:line="240" w:before="0" w:after="0"/>
        <w:jc w:val="center"/>
        <w:rPr>
          <w:rFonts w:ascii="Times New Roman" w:hAnsi="Times New Roman"/>
          <w:sz w:val="28"/>
          <w:szCs w:val="28"/>
        </w:rPr>
      </w:pPr>
      <w:r>
        <w:rPr>
          <w:sz w:val="28"/>
          <w:szCs w:val="28"/>
        </w:rPr>
      </w:r>
    </w:p>
    <w:p>
      <w:pPr>
        <w:pStyle w:val="StyleZakonu"/>
        <w:tabs>
          <w:tab w:val="clear" w:pos="706"/>
          <w:tab w:val="left" w:pos="900" w:leader="none"/>
        </w:tabs>
        <w:spacing w:lineRule="auto" w:line="240" w:before="0" w:after="0"/>
        <w:ind w:left="0" w:right="0" w:firstLine="720"/>
        <w:rPr/>
      </w:pPr>
      <w:r>
        <w:rPr>
          <w:sz w:val="28"/>
          <w:szCs w:val="28"/>
        </w:rPr>
        <w:t xml:space="preserve">1. </w:t>
      </w:r>
      <w:r>
        <w:rPr>
          <w:sz w:val="28"/>
          <w:szCs w:val="28"/>
          <w:lang w:val="uk-UA" w:eastAsia="zxx" w:bidi="zxx"/>
        </w:rPr>
        <w:t>Встановити</w:t>
      </w:r>
      <w:r>
        <w:rPr>
          <w:sz w:val="28"/>
          <w:szCs w:val="28"/>
        </w:rPr>
        <w:t xml:space="preserve"> з 01 січня 2022 року на території Покровської міської територіальної громади Дніпропетровської області:</w:t>
      </w:r>
    </w:p>
    <w:p>
      <w:pPr>
        <w:pStyle w:val="StyleZakonu"/>
        <w:numPr>
          <w:ilvl w:val="0"/>
          <w:numId w:val="1"/>
        </w:numPr>
        <w:tabs>
          <w:tab w:val="clear" w:pos="706"/>
          <w:tab w:val="left" w:pos="0" w:leader="none"/>
        </w:tabs>
        <w:spacing w:lineRule="auto" w:line="240" w:before="0" w:after="0"/>
        <w:ind w:left="0" w:right="0" w:firstLine="720"/>
        <w:rPr/>
      </w:pPr>
      <w:r>
        <w:rPr>
          <w:sz w:val="28"/>
          <w:szCs w:val="28"/>
        </w:rPr>
        <w:t>ставки податку на нерухоме майно, відмінне від земельної ділянки, згідно з додатком 1;</w:t>
      </w:r>
    </w:p>
    <w:p>
      <w:pPr>
        <w:pStyle w:val="StyleZakonu"/>
        <w:numPr>
          <w:ilvl w:val="0"/>
          <w:numId w:val="1"/>
        </w:numPr>
        <w:tabs>
          <w:tab w:val="clear" w:pos="706"/>
          <w:tab w:val="left" w:pos="0" w:leader="none"/>
        </w:tabs>
        <w:spacing w:lineRule="auto" w:line="240" w:before="0" w:after="0"/>
        <w:ind w:left="0" w:right="0" w:firstLine="720"/>
        <w:rPr/>
      </w:pPr>
      <w:r>
        <w:rPr>
          <w:sz w:val="28"/>
          <w:szCs w:val="28"/>
        </w:rPr>
        <w:t xml:space="preserve"> </w:t>
      </w:r>
      <w:r>
        <w:rPr>
          <w:sz w:val="28"/>
          <w:szCs w:val="28"/>
        </w:rPr>
        <w:t>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pPr>
      <w:r>
        <w:rPr>
          <w:sz w:val="28"/>
          <w:szCs w:val="28"/>
        </w:rPr>
        <w:t>2. Визначити, що:</w:t>
      </w:r>
    </w:p>
    <w:p>
      <w:pPr>
        <w:pStyle w:val="Normal"/>
        <w:spacing w:lineRule="auto" w:line="240" w:before="0" w:after="0"/>
        <w:ind w:firstLine="708"/>
        <w:jc w:val="both"/>
        <w:rPr/>
      </w:pPr>
      <w:r>
        <w:rPr>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sz w:val="28"/>
          <w:szCs w:val="28"/>
          <w:vertAlign w:val="superscript"/>
        </w:rPr>
        <w:t>1</w:t>
      </w:r>
      <w:r>
        <w:rPr>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pPr>
      <w:r>
        <w:rPr>
          <w:sz w:val="28"/>
          <w:szCs w:val="28"/>
        </w:rPr>
        <w:t xml:space="preserve">2.2 платниками податку на нерухомість є фізичні та юридичні особи, в тому числі нерезиденти, які є власниками об’єктів </w:t>
      </w:r>
      <w:r>
        <w:rPr>
          <w:sz w:val="28"/>
          <w:szCs w:val="28"/>
          <w:lang w:eastAsia="uk-UA"/>
        </w:rPr>
        <w:t>нерухомості</w:t>
      </w:r>
      <w:r>
        <w:rPr>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pPr>
      <w:r>
        <w:rPr>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pPr>
      <w:bookmarkStart w:id="0" w:name="__DdeLink__7694_3519978329"/>
      <w:bookmarkEnd w:id="0"/>
      <w:r>
        <w:rPr>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pPr>
      <w:r>
        <w:rPr>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pPr>
      <w:r>
        <w:rPr>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pPr>
      <w:r>
        <w:rPr>
          <w:sz w:val="28"/>
          <w:szCs w:val="28"/>
        </w:rPr>
        <w:t xml:space="preserve">2.4 податок сплачується до міського бюджету у разі розташування об’єкта/об’єктів оподаткування на території Покровської міської територіальної громади Дніпропетровської області. </w:t>
      </w:r>
    </w:p>
    <w:p>
      <w:pPr>
        <w:pStyle w:val="StyleZakonu"/>
        <w:spacing w:lineRule="auto" w:line="240" w:before="0" w:after="0"/>
        <w:ind w:left="0" w:right="0" w:firstLine="708"/>
        <w:rPr/>
      </w:pPr>
      <w:r>
        <w:rPr>
          <w:sz w:val="28"/>
          <w:szCs w:val="28"/>
        </w:rPr>
        <w:t>3. 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
        <w:spacing w:lineRule="auto" w:line="240" w:before="0" w:after="0"/>
        <w:ind w:left="0" w:right="0" w:firstLine="708"/>
        <w:rPr/>
      </w:pPr>
      <w:r>
        <w:rPr>
          <w:sz w:val="28"/>
          <w:szCs w:val="28"/>
        </w:rPr>
        <w:t>4. 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
        <w:spacing w:lineRule="auto" w:line="240" w:before="0" w:after="0"/>
        <w:ind w:left="0" w:right="0" w:firstLine="708"/>
        <w:rPr/>
      </w:pPr>
      <w:r>
        <w:rPr>
          <w:sz w:val="28"/>
          <w:szCs w:val="28"/>
          <w:lang w:val="ru-RU"/>
        </w:rPr>
        <w:t xml:space="preserve">5. </w:t>
      </w:r>
      <w:r>
        <w:rPr>
          <w:sz w:val="28"/>
          <w:szCs w:val="28"/>
        </w:rPr>
        <w:t>Оприлюднити рішення в засобах масової інформації або в інший можливий спосіб.</w:t>
      </w:r>
    </w:p>
    <w:p>
      <w:pPr>
        <w:pStyle w:val="Normal"/>
        <w:spacing w:lineRule="auto" w:line="240" w:before="0" w:after="0"/>
        <w:ind w:firstLine="708"/>
        <w:jc w:val="both"/>
        <w:rPr/>
      </w:pPr>
      <w:r>
        <w:rPr>
          <w:sz w:val="28"/>
          <w:szCs w:val="28"/>
        </w:rPr>
        <w:t>6. Рішення набирає чинності з 01 січня 2022 року.</w:t>
      </w:r>
    </w:p>
    <w:p>
      <w:pPr>
        <w:pStyle w:val="StyleZakonu"/>
        <w:spacing w:lineRule="auto" w:line="240" w:before="0" w:after="0"/>
        <w:ind w:left="0" w:right="0" w:firstLine="708"/>
        <w:rPr/>
      </w:pPr>
      <w:r>
        <w:rPr>
          <w:sz w:val="28"/>
          <w:szCs w:val="28"/>
          <w:lang w:val="ru-RU"/>
        </w:rPr>
        <w:t>7</w:t>
      </w:r>
      <w:r>
        <w:rPr>
          <w:sz w:val="28"/>
          <w:szCs w:val="28"/>
        </w:rPr>
        <w:t>. Вважати таким, що припиня</w:t>
      </w:r>
      <w:r>
        <w:rPr>
          <w:sz w:val="28"/>
          <w:szCs w:val="28"/>
          <w:lang w:val="uk-UA"/>
        </w:rPr>
        <w:t>є</w:t>
      </w:r>
      <w:r>
        <w:rPr>
          <w:sz w:val="28"/>
          <w:szCs w:val="28"/>
        </w:rPr>
        <w:t xml:space="preserve"> дію з 01</w:t>
      </w:r>
      <w:r>
        <w:rPr>
          <w:sz w:val="28"/>
          <w:szCs w:val="28"/>
          <w:lang w:val="ru-RU"/>
        </w:rPr>
        <w:t xml:space="preserve"> </w:t>
      </w:r>
      <w:r>
        <w:rPr>
          <w:sz w:val="28"/>
          <w:szCs w:val="28"/>
        </w:rPr>
        <w:t>січня 2022</w:t>
      </w:r>
      <w:r>
        <w:rPr>
          <w:sz w:val="28"/>
          <w:szCs w:val="28"/>
          <w:lang w:val="ru-RU"/>
        </w:rPr>
        <w:t xml:space="preserve"> </w:t>
      </w:r>
      <w:r>
        <w:rPr>
          <w:sz w:val="28"/>
          <w:szCs w:val="28"/>
        </w:rPr>
        <w:t xml:space="preserve">року рішення міської ради </w:t>
      </w:r>
      <w:r>
        <w:rPr>
          <w:rFonts w:eastAsia="Times New Roman" w:cs="Times New Roman"/>
          <w:color w:val="auto"/>
          <w:kern w:val="2"/>
          <w:sz w:val="28"/>
          <w:szCs w:val="28"/>
          <w:lang w:val="zxx" w:eastAsia="zxx" w:bidi="zxx"/>
        </w:rPr>
        <w:t>43</w:t>
      </w:r>
      <w:r>
        <w:rPr>
          <w:sz w:val="28"/>
          <w:szCs w:val="28"/>
        </w:rPr>
        <w:t xml:space="preserve"> сесії 7 скликання від </w:t>
      </w:r>
      <w:r>
        <w:rPr>
          <w:rFonts w:eastAsia="Times New Roman" w:cs="Times New Roman"/>
          <w:color w:val="auto"/>
          <w:kern w:val="2"/>
          <w:sz w:val="28"/>
          <w:szCs w:val="28"/>
          <w:lang w:val="zxx" w:eastAsia="zxx" w:bidi="zxx"/>
        </w:rPr>
        <w:t>29</w:t>
      </w:r>
      <w:r>
        <w:rPr>
          <w:sz w:val="28"/>
          <w:szCs w:val="28"/>
        </w:rPr>
        <w:t xml:space="preserve">.03.2019 № </w:t>
      </w:r>
      <w:r>
        <w:rPr>
          <w:sz w:val="28"/>
          <w:szCs w:val="28"/>
          <w:lang w:val="ru-RU"/>
        </w:rPr>
        <w:t>12</w:t>
      </w:r>
      <w:r>
        <w:rPr>
          <w:sz w:val="28"/>
          <w:szCs w:val="28"/>
        </w:rPr>
        <w:t xml:space="preserve"> «Про встановлення податку на нерухоме майно, відмінне від земельної ділянки» (</w:t>
      </w:r>
      <w:r>
        <w:rPr>
          <w:sz w:val="28"/>
          <w:szCs w:val="28"/>
          <w:lang w:val="uk-UA"/>
        </w:rPr>
        <w:t>із змінами).</w:t>
      </w:r>
    </w:p>
    <w:p>
      <w:pPr>
        <w:pStyle w:val="Normal"/>
        <w:spacing w:lineRule="auto" w:line="240" w:before="0" w:after="0"/>
        <w:ind w:firstLine="709"/>
        <w:jc w:val="both"/>
        <w:rPr/>
      </w:pPr>
      <w:r>
        <w:rPr>
          <w:sz w:val="28"/>
          <w:szCs w:val="28"/>
        </w:rPr>
        <w:t xml:space="preserve">8. Контроль за виконанням цього рішення покласти на заступника міського голови Чистякова О.Г. та на </w:t>
      </w:r>
      <w:r>
        <w:rPr>
          <w:color w:val="000000"/>
          <w:sz w:val="28"/>
          <w:szCs w:val="28"/>
        </w:rPr>
        <w:t>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jc w:val="both"/>
        <w:rPr/>
      </w:pPr>
      <w:r>
        <w:rPr>
          <w:sz w:val="28"/>
          <w:szCs w:val="28"/>
        </w:rPr>
        <w:t xml:space="preserve">Міський голова                                                   </w:t>
        <w:tab/>
        <w:tab/>
        <w:t xml:space="preserve">   </w:t>
        <w:tab/>
        <w:tab/>
        <w:t>О.М.Шаповал</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sectPr>
          <w:headerReference w:type="default" r:id="rId3"/>
          <w:type w:val="nextPage"/>
          <w:pgSz w:w="11906" w:h="16838"/>
          <w:pgMar w:left="1701" w:right="567" w:header="1134" w:top="1191" w:footer="0" w:bottom="1134" w:gutter="0"/>
          <w:pgNumType w:fmt="decimal"/>
          <w:formProt w:val="false"/>
          <w:textDirection w:val="lrTb"/>
          <w:docGrid w:type="default" w:linePitch="360" w:charSpace="0"/>
        </w:sect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ind w:left="0" w:right="0" w:hanging="0"/>
        <w:rPr>
          <w:rFonts w:cs="Times New Roman"/>
          <w:sz w:val="24"/>
          <w:szCs w:val="24"/>
          <w:lang w:val="uk-UA" w:bidi="ar-SA"/>
        </w:rPr>
      </w:pPr>
      <w:r>
        <w:rPr>
          <w:rFonts w:cs="Times New Roman"/>
          <w:sz w:val="24"/>
          <w:szCs w:val="24"/>
          <w:lang w:val="uk-UA" w:bidi="ar-SA"/>
        </w:rPr>
        <w:tab/>
        <w:t xml:space="preserve">                                                                                                                                                                                                        Додаток 1</w:t>
      </w:r>
    </w:p>
    <w:p>
      <w:pPr>
        <w:pStyle w:val="Normal"/>
        <w:widowControl/>
        <w:suppressAutoHyphens w:val="true"/>
        <w:bidi w:val="0"/>
        <w:spacing w:lineRule="auto" w:line="240" w:before="0" w:after="0"/>
        <w:ind w:left="0" w:right="0" w:hanging="0"/>
        <w:jc w:val="left"/>
        <w:rPr>
          <w:rFonts w:cs="Times New Roman"/>
          <w:sz w:val="24"/>
          <w:szCs w:val="24"/>
          <w:lang w:val="uk-UA" w:bidi="ar-SA"/>
        </w:rPr>
      </w:pPr>
      <w:r>
        <w:rPr>
          <w:rFonts w:cs="Times New Roman"/>
          <w:sz w:val="24"/>
          <w:szCs w:val="24"/>
          <w:lang w:val="uk-UA" w:bidi="ar-SA"/>
        </w:rPr>
        <w:tab/>
        <w:tab/>
        <w:tab/>
        <w:tab/>
        <w:tab/>
        <w:tab/>
        <w:tab/>
        <w:tab/>
        <w:tab/>
        <w:tab/>
        <w:tab/>
        <w:tab/>
        <w:tab/>
        <w:tab/>
        <w:tab/>
        <w:tab/>
        <w:t>до рішення _____ сесії 8 скликання</w:t>
      </w:r>
    </w:p>
    <w:p>
      <w:pPr>
        <w:pStyle w:val="Normal"/>
        <w:widowControl/>
        <w:suppressAutoHyphens w:val="true"/>
        <w:bidi w:val="0"/>
        <w:spacing w:lineRule="auto" w:line="216" w:before="0" w:after="113"/>
        <w:ind w:left="0" w:right="0" w:hanging="0"/>
        <w:jc w:val="left"/>
        <w:rPr>
          <w:rFonts w:ascii="Times New Roman" w:hAnsi="Times New Roman"/>
          <w:sz w:val="26"/>
          <w:szCs w:val="26"/>
        </w:rPr>
      </w:pPr>
      <w:r>
        <w:rPr>
          <w:rFonts w:cs="Times New Roman"/>
          <w:sz w:val="26"/>
          <w:szCs w:val="26"/>
          <w:lang w:val="uk-UA" w:bidi="ar-SA"/>
        </w:rPr>
        <w:tab/>
        <w:tab/>
      </w:r>
      <w:r>
        <w:rPr>
          <w:rFonts w:cs="Times New Roman"/>
          <w:sz w:val="24"/>
          <w:szCs w:val="24"/>
          <w:lang w:val="uk-UA" w:bidi="ar-SA"/>
        </w:rPr>
        <w:tab/>
        <w:tab/>
        <w:tab/>
        <w:tab/>
        <w:tab/>
        <w:tab/>
        <w:tab/>
        <w:tab/>
        <w:tab/>
        <w:tab/>
        <w:tab/>
        <w:tab/>
        <w:tab/>
        <w:tab/>
        <w:t>_________________2021 № ____</w:t>
      </w:r>
    </w:p>
    <w:p>
      <w:pPr>
        <w:pStyle w:val="Style23"/>
        <w:spacing w:lineRule="auto" w:line="216" w:before="0" w:after="113"/>
        <w:rPr>
          <w:rFonts w:ascii="Times New Roman" w:hAnsi="Times New Roman"/>
          <w:sz w:val="26"/>
          <w:szCs w:val="26"/>
        </w:rPr>
      </w:pPr>
      <w:r>
        <w:rPr>
          <w:rFonts w:cs="Times New Roman" w:ascii="Times New Roman" w:hAnsi="Times New Roman"/>
          <w:sz w:val="24"/>
          <w:szCs w:val="24"/>
          <w:lang w:val="uk-UA" w:eastAsia="ru-RU" w:bidi="ar-SA"/>
        </w:rPr>
        <w:t>СТАВКИ</w:t>
      </w:r>
      <w:r>
        <w:rPr>
          <w:rFonts w:cs="Times New Roman" w:ascii="Times New Roman" w:hAnsi="Times New Roman"/>
          <w:sz w:val="24"/>
          <w:szCs w:val="24"/>
          <w:vertAlign w:val="superscript"/>
          <w:lang w:val="uk-UA" w:eastAsia="ru-RU" w:bidi="ar-SA"/>
        </w:rPr>
        <w:br/>
      </w:r>
      <w:r>
        <w:rPr>
          <w:rFonts w:cs="Times New Roman" w:ascii="Times New Roman" w:hAnsi="Times New Roman"/>
          <w:sz w:val="24"/>
          <w:szCs w:val="24"/>
          <w:lang w:val="uk-UA" w:eastAsia="ru-RU" w:bidi="ar-SA"/>
        </w:rPr>
        <w:t>податку на нерухоме майно, відмінне від земельної ділянки</w:t>
      </w:r>
      <w:r>
        <w:rPr>
          <w:rFonts w:cs="Times New Roman" w:ascii="Times New Roman" w:hAnsi="Times New Roman"/>
          <w:sz w:val="24"/>
          <w:szCs w:val="24"/>
          <w:lang w:val="uk-UA" w:bidi="ar-SA"/>
        </w:rPr>
        <w:t xml:space="preserve"> для об’єктів нерухомості </w:t>
      </w:r>
      <w:r>
        <w:rPr>
          <w:rFonts w:cs="Times New Roman" w:ascii="Times New Roman" w:hAnsi="Times New Roman"/>
          <w:sz w:val="24"/>
          <w:szCs w:val="24"/>
          <w:vertAlign w:val="superscript"/>
          <w:lang w:val="uk-UA" w:eastAsia="ru-RU" w:bidi="ar-SA"/>
        </w:rPr>
        <w:t>1</w:t>
      </w:r>
    </w:p>
    <w:p>
      <w:pPr>
        <w:pStyle w:val="Style24"/>
        <w:spacing w:lineRule="auto" w:line="216" w:before="0" w:after="113"/>
        <w:jc w:val="both"/>
        <w:rPr>
          <w:rFonts w:ascii="Times New Roman" w:hAnsi="Times New Roman" w:cs="Times New Roman"/>
          <w:sz w:val="24"/>
          <w:szCs w:val="24"/>
          <w:lang w:val="uk-UA" w:eastAsia="ru-RU" w:bidi="ar-SA"/>
        </w:rPr>
      </w:pPr>
      <w:r>
        <w:rPr>
          <w:rFonts w:cs="Times New Roman" w:ascii="Times New Roman" w:hAnsi="Times New Roman"/>
          <w:sz w:val="24"/>
          <w:szCs w:val="24"/>
          <w:lang w:val="uk-UA" w:eastAsia="ru-RU" w:bidi="ar-SA"/>
        </w:rPr>
        <w:t>Ставки вводяться в дію з 01 січня 2022 року.</w:t>
      </w:r>
    </w:p>
    <w:p>
      <w:pPr>
        <w:pStyle w:val="Style24"/>
        <w:spacing w:lineRule="auto" w:line="216" w:before="0" w:after="113"/>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55" w:type="dxa"/>
        <w:jc w:val="left"/>
        <w:tblInd w:w="132" w:type="dxa"/>
        <w:tblLayout w:type="fixed"/>
        <w:tblCellMar>
          <w:top w:w="0" w:type="dxa"/>
          <w:left w:w="68" w:type="dxa"/>
          <w:bottom w:w="0" w:type="dxa"/>
          <w:right w:w="108" w:type="dxa"/>
        </w:tblCellMar>
      </w:tblPr>
      <w:tblGrid>
        <w:gridCol w:w="1799"/>
        <w:gridCol w:w="1800"/>
        <w:gridCol w:w="2340"/>
        <w:gridCol w:w="9115"/>
      </w:tblGrid>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району</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згідно з КОАТУУ</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1212100000</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 Покров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1222987001</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1222987002</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с.Миронівка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1222987003</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с.Улянівка Дніпропетровської обл</w:t>
            </w:r>
          </w:p>
        </w:tc>
      </w:tr>
    </w:tbl>
    <w:p>
      <w:pPr>
        <w:pStyle w:val="Normal"/>
        <w:widowControl w:val="false"/>
        <w:spacing w:lineRule="auto" w:line="216" w:before="0" w:after="113"/>
        <w:rPr>
          <w:rFonts w:cs="Times New Roman"/>
          <w:color w:val="000000"/>
          <w:sz w:val="12"/>
          <w:szCs w:val="12"/>
          <w:lang w:val="uk-UA" w:eastAsia="ru-RU"/>
        </w:rPr>
      </w:pPr>
      <w:r>
        <w:rPr>
          <w:rFonts w:cs="Times New Roman"/>
          <w:color w:val="000000"/>
          <w:sz w:val="12"/>
          <w:szCs w:val="12"/>
          <w:lang w:val="uk-UA" w:eastAsia="ru-RU"/>
        </w:rPr>
      </w:r>
    </w:p>
    <w:tbl>
      <w:tblPr>
        <w:tblW w:w="15054" w:type="dxa"/>
        <w:jc w:val="left"/>
        <w:tblInd w:w="110" w:type="dxa"/>
        <w:tblLayout w:type="fixed"/>
        <w:tblCellMar>
          <w:top w:w="0" w:type="dxa"/>
          <w:left w:w="5" w:type="dxa"/>
          <w:bottom w:w="0" w:type="dxa"/>
          <w:right w:w="13" w:type="dxa"/>
        </w:tblCellMar>
      </w:tblPr>
      <w:tblGrid>
        <w:gridCol w:w="1091"/>
        <w:gridCol w:w="7551"/>
        <w:gridCol w:w="3"/>
        <w:gridCol w:w="12"/>
        <w:gridCol w:w="1055"/>
        <w:gridCol w:w="86"/>
        <w:gridCol w:w="986"/>
        <w:gridCol w:w="12"/>
        <w:gridCol w:w="72"/>
        <w:gridCol w:w="956"/>
        <w:gridCol w:w="80"/>
        <w:gridCol w:w="9"/>
        <w:gridCol w:w="1110"/>
        <w:gridCol w:w="90"/>
        <w:gridCol w:w="2"/>
        <w:gridCol w:w="909"/>
        <w:gridCol w:w="10"/>
        <w:gridCol w:w="2"/>
        <w:gridCol w:w="1016"/>
      </w:tblGrid>
      <w:tr>
        <w:trPr>
          <w:tblHeader w:val="true"/>
          <w:trHeight w:val="23" w:hRule="atLeast"/>
        </w:trPr>
        <w:tc>
          <w:tcPr>
            <w:tcW w:w="8645"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Класифікація будівель та споруд</w:t>
            </w:r>
            <w:r>
              <w:rPr>
                <w:rFonts w:cs="Times New Roman" w:ascii="Times New Roman" w:hAnsi="Times New Roman"/>
                <w:color w:val="000000"/>
                <w:sz w:val="24"/>
                <w:szCs w:val="24"/>
                <w:vertAlign w:val="superscript"/>
                <w:lang w:val="uk-UA" w:eastAsia="ru-RU"/>
              </w:rPr>
              <w:t>2</w:t>
            </w:r>
          </w:p>
        </w:tc>
        <w:tc>
          <w:tcPr>
            <w:tcW w:w="6407"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Ставки податку</w:t>
            </w:r>
            <w:r>
              <w:rPr>
                <w:rFonts w:cs="Times New Roman" w:ascii="Times New Roman" w:hAnsi="Times New Roman"/>
                <w:color w:val="000000"/>
                <w:sz w:val="24"/>
                <w:szCs w:val="24"/>
                <w:vertAlign w:val="superscript"/>
                <w:lang w:val="uk-UA" w:eastAsia="ru-RU"/>
              </w:rPr>
              <w:t>3</w:t>
            </w:r>
            <w:r>
              <w:rPr>
                <w:rFonts w:cs="Times New Roman" w:ascii="Times New Roman" w:hAnsi="Times New Roman"/>
                <w:color w:val="000000"/>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код</w:t>
            </w:r>
            <w:r>
              <w:rPr>
                <w:rFonts w:cs="Times New Roman" w:ascii="Times New Roman" w:hAnsi="Times New Roman"/>
                <w:color w:val="000000"/>
                <w:sz w:val="24"/>
                <w:szCs w:val="24"/>
                <w:vertAlign w:val="superscript"/>
                <w:lang w:val="uk-UA" w:eastAsia="ru-RU"/>
              </w:rPr>
              <w:t>2</w:t>
            </w:r>
          </w:p>
        </w:tc>
        <w:tc>
          <w:tcPr>
            <w:tcW w:w="755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найменування</w:t>
            </w:r>
            <w:r>
              <w:rPr>
                <w:rFonts w:cs="Times New Roman" w:ascii="Times New Roman" w:hAnsi="Times New Roman"/>
                <w:color w:val="000000"/>
                <w:sz w:val="24"/>
                <w:szCs w:val="24"/>
                <w:vertAlign w:val="superscript"/>
                <w:lang w:val="uk-UA" w:eastAsia="ru-RU"/>
              </w:rPr>
              <w:t>2</w:t>
            </w:r>
          </w:p>
        </w:tc>
        <w:tc>
          <w:tcPr>
            <w:tcW w:w="3262" w:type="dxa"/>
            <w:gridSpan w:val="9"/>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юридичних осіб</w:t>
            </w:r>
          </w:p>
        </w:tc>
        <w:tc>
          <w:tcPr>
            <w:tcW w:w="3148" w:type="dxa"/>
            <w:gridSpan w:val="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фізичних осіб</w:t>
            </w:r>
          </w:p>
        </w:tc>
      </w:tr>
      <w:tr>
        <w:trPr>
          <w:tblHeader w:val="true"/>
          <w:trHeight w:val="23" w:hRule="atLeast"/>
        </w:trPr>
        <w:tc>
          <w:tcPr>
            <w:tcW w:w="109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755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одноквартирні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одноквартирні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садибного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дачні та садові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з двома та більше квартирами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двома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двоквартирні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двоквартирні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трьома та більше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підвищеної комфортності, індивідуальні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житлові готельного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Гуртожитки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Гуртожитки для робітників та службовців</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студентів вищих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учнів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Будинки-інтернати для людей похилого віку та інвалідів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1130.5</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дитини та сирітські будинки</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1130.6</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для біженців, притулки для бездомних</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1130.9</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для колективного проживання інші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 ресторани та подібні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готельні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Кемпінги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Пансіонати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Ресторани та бари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Туристичні бази та гірські притулки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Дитячі та сімейні табори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Центри та будинки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 не класифіковані раніше</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офісні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офісні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державного та місцевого управління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фінансового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правосуддя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закордонних представництв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Адміністративно-побутові будівлі промислових підприємств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конторських та адміністративних цілей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Торгові центри, універмаги, магазини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Криті ринки, павільйони та зали для ярмарків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Станції технічного обслуговування автомобілів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Їдальні, кафе, закусочні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Бази та склади підприємств торгівлі і громадського харчування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підприємств побутового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аеровокзали, будівлі засобів зв’язку та пов’язані з ними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Автовокзали та інші будівлі автомобільного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та інші будівлі залізничного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міського електротранспорту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Аеровокзали та інші будівлі повітряного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Морські та річкові вокзали, маяки та пов’язані з ними будівлі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станцій підвісних та канатних доріг</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центрів радіо- та телевізійного мовлення, телефонних станцій, телекомунікаційних центрів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Ангари для літаків, локомотивні, вагонні, трамвайні та тролейбусні депо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наземні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підземні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Стоянки автомобільні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Навіси для велосипедів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промислові та склади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промислові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машинобудування та металообробної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чорної металургії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хімічної та нафтохімічної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легкої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харчової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медичної та мікробіологічної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інших промислових виробництв, включаючи поліграфічне</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Резервуари, силоси та склади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для нафти, нафтопродуктів та газу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та ємності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зерна</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цементу та інших сипучих матеріалів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спеціальні товарні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Холодильники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Складські майданчики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універсальні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Склади та сховища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Театри, кінотеатри та концертні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засідань та багатоцільові зали для публічних виступів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Цирки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Казино, ігорні будинки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eastAsia="Times New Roman" w:cs="Times New Roman" w:ascii="Times New Roman" w:hAnsi="Times New Roman"/>
                <w:color w:val="000000"/>
                <w:kern w:val="2"/>
                <w:sz w:val="24"/>
                <w:szCs w:val="24"/>
                <w:lang w:val="uk-UA" w:eastAsia="ru-RU" w:bidi="zxx"/>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Музичні та танцювальні зали, дискотеки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Музеї та бібліотеки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Музеї та художні галереї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Бібліотеки, книгосховища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Технічні центри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Планетарії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архівів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зоологічних та ботанічних садів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навчальних та дослідних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науково-дослідних та проектно-вишукувальних установ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вищих навчальних закладів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шкіл та інших середніх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професійно-технічних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дошкільних та позашкільних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закладів з фахової перепідготовки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метеорологічних станцій, обсерваторій</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освітніх та науково-дослідних закладів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лікарень та оздоровчих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профільні, диспансери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Материнські та дитячі реабілітаційні центри, пологові будинки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Поліклініки, пункти медичного обслуговування та консультації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Шпиталі виправних закладів, в’язниць та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Санаторії, профілакторії та центри функціональної реабілітації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Заклади лікувально-профілактичні та оздоровчі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Зали спортивні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гімнастичні, баскетбольні, волейбольні, тенісні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Басейни криті для плавання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Хокейні та льодові стадіони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Манежі легкоатлетичні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Тири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спортивні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 інші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тваринництва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птахівництва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зберігання зерна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силосні та сінажні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садівництва, виноградарства та виноробства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тепличного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рибного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лісівництва та звірівництва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для культової та релігійної діяльності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Церкви, собори, костьоли, мечеті, синагоги тощо</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Похоронні бюро та ритуальні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Цвинтарі та крематорії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Пам’ятки історичні та такі, що охороняються державою</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Пам’ятки історії та архітектури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Меморіали, художньо-декоративні будівлі, статуї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інші, не класифіковані раніше</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Казарми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поліцейських та пожежних служб</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виправних закладів, в’язниць та слідчих ізоляторів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лазень та пралень</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 облаштування населених пунктів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bl>
    <w:p>
      <w:pPr>
        <w:pStyle w:val="Style24"/>
        <w:spacing w:lineRule="auto" w:line="216" w:before="0" w:after="113"/>
        <w:jc w:val="both"/>
        <w:rPr>
          <w:rFonts w:ascii="Times New Roman" w:hAnsi="Times New Roman" w:cs="Times New Roman"/>
          <w:color w:val="000000"/>
          <w:szCs w:val="26"/>
          <w:lang w:val="uk-UA" w:eastAsia="ru-RU" w:bidi="ar-SA"/>
        </w:rPr>
      </w:pPr>
      <w:r>
        <w:rPr>
          <w:rFonts w:cs="Times New Roman" w:ascii="Times New Roman" w:hAnsi="Times New Roman"/>
          <w:color w:val="000000"/>
          <w:szCs w:val="26"/>
          <w:lang w:val="uk-UA" w:eastAsia="ru-RU" w:bidi="ar-SA"/>
        </w:rPr>
        <w:t>__________</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1</w:t>
      </w:r>
      <w:r>
        <w:rPr>
          <w:rFonts w:cs="Times New Roman" w:ascii="Times New Roman" w:hAnsi="Times New Roman"/>
          <w:color w:val="000000"/>
          <w:sz w:val="22"/>
          <w:szCs w:val="22"/>
          <w:lang w:val="uk-UA" w:eastAsia="ru-RU" w:bidi="ar-S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2</w:t>
      </w:r>
      <w:r>
        <w:rPr>
          <w:rFonts w:cs="Times New Roman" w:ascii="Times New Roman" w:hAnsi="Times New Roman"/>
          <w:color w:val="000000"/>
          <w:sz w:val="22"/>
          <w:szCs w:val="22"/>
          <w:lang w:val="uk-UA" w:eastAsia="ru-RU" w:bidi="ar-SA"/>
        </w:rPr>
        <w:t xml:space="preserve"> Кл</w:t>
      </w:r>
      <w:r>
        <w:rPr>
          <w:rFonts w:cs="Times New Roman" w:ascii="Times New Roman" w:hAnsi="Times New Roman"/>
          <w:sz w:val="22"/>
          <w:szCs w:val="22"/>
          <w:lang w:val="uk-UA" w:eastAsia="ru-RU" w:bidi="ar-SA"/>
        </w:rPr>
        <w:t>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3</w:t>
      </w:r>
      <w:r>
        <w:rPr>
          <w:rFonts w:cs="Times New Roman" w:ascii="Times New Roman" w:hAnsi="Times New Roman"/>
          <w:sz w:val="22"/>
          <w:szCs w:val="22"/>
          <w:lang w:val="uk-UA" w:eastAsia="ru-RU" w:bidi="ar-S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4</w:t>
      </w:r>
      <w:r>
        <w:rPr>
          <w:rFonts w:cs="Times New Roman" w:ascii="Times New Roman" w:hAnsi="Times New Roman"/>
          <w:sz w:val="22"/>
          <w:szCs w:val="22"/>
          <w:lang w:val="uk-UA" w:eastAsia="ru-RU" w:bidi="ar-SA"/>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5</w:t>
      </w:r>
      <w:r>
        <w:rPr>
          <w:rFonts w:cs="Times New Roman" w:ascii="Times New Roman" w:hAnsi="Times New Roman"/>
          <w:sz w:val="22"/>
          <w:szCs w:val="22"/>
          <w:lang w:val="uk-UA" w:eastAsia="ru-RU" w:bidi="ar-S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val="uk-UA" w:eastAsia="ru-RU" w:bidi="ar-SA"/>
        </w:rPr>
        <w:t xml:space="preserve"> </w:t>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Normal"/>
        <w:spacing w:lineRule="auto" w:line="240" w:before="0" w:after="0"/>
        <w:ind w:left="0" w:right="0" w:hanging="0"/>
        <w:rPr>
          <w:rFonts w:ascii="Times New Roman" w:hAnsi="Times New Roman"/>
          <w:sz w:val="26"/>
          <w:szCs w:val="26"/>
        </w:rPr>
      </w:pPr>
      <w:r>
        <w:rPr>
          <w:rFonts w:cs="Times New Roman"/>
          <w:sz w:val="24"/>
          <w:szCs w:val="24"/>
          <w:lang w:val="uk-UA" w:bidi="ar-SA"/>
        </w:rPr>
        <w:b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sectPr>
          <w:headerReference w:type="default" r:id="rId4"/>
          <w:type w:val="nextPage"/>
          <w:pgSz w:orient="landscape" w:w="16838" w:h="11906"/>
          <w:pgMar w:left="851" w:right="539" w:header="0" w:top="899" w:footer="0" w:bottom="709" w:gutter="0"/>
          <w:pgNumType w:fmt="decimal"/>
          <w:formProt w:val="false"/>
          <w:textDirection w:val="lrTb"/>
          <w:docGrid w:type="default" w:linePitch="360" w:charSpace="0"/>
        </w:sectPr>
        <w:pStyle w:val="Style15"/>
        <w:rPr>
          <w:lang w:val="uk-UA" w:bidi="ar-SA"/>
        </w:rPr>
      </w:pPr>
      <w:r>
        <w:rPr>
          <w:lang w:val="uk-UA" w:bidi="ar-SA"/>
        </w:rPr>
        <w:br/>
      </w:r>
    </w:p>
    <w:p>
      <w:pPr>
        <w:pStyle w:val="Normal"/>
        <w:bidi w:val="0"/>
        <w:spacing w:lineRule="auto" w:line="240" w:before="0" w:after="0"/>
        <w:jc w:val="center"/>
        <w:rPr>
          <w:rFonts w:ascii="Times New Roman" w:hAnsi="Times New Roman"/>
          <w:sz w:val="26"/>
          <w:szCs w:val="26"/>
        </w:rPr>
      </w:pPr>
      <w:r>
        <w:rPr>
          <w:b/>
          <w:bCs/>
          <w:color w:val="000000"/>
          <w:spacing w:val="34"/>
          <w:sz w:val="24"/>
          <w:szCs w:val="24"/>
          <w:lang w:val="uk-UA" w:bidi="ar-SA"/>
        </w:rPr>
        <w:t>Відповідність вулиць та провулків зонам Покровської міської територіальної громади Дніпропетровської області</w:t>
      </w:r>
    </w:p>
    <w:tbl>
      <w:tblPr>
        <w:tblW w:w="9639" w:type="dxa"/>
        <w:jc w:val="left"/>
        <w:tblInd w:w="6" w:type="dxa"/>
        <w:tblLayout w:type="fixed"/>
        <w:tblCellMar>
          <w:top w:w="0" w:type="dxa"/>
          <w:left w:w="68" w:type="dxa"/>
          <w:bottom w:w="0" w:type="dxa"/>
          <w:right w:w="108" w:type="dxa"/>
        </w:tblCellMar>
        <w:tblLook w:val="0000" w:noHBand="0" w:noVBand="0" w:firstColumn="0" w:lastRow="0" w:lastColumn="0" w:firstRow="0"/>
      </w:tblPr>
      <w:tblGrid>
        <w:gridCol w:w="840"/>
        <w:gridCol w:w="8798"/>
      </w:tblGrid>
      <w:tr>
        <w:trPr/>
        <w:tc>
          <w:tcPr>
            <w:tcW w:w="840" w:type="dxa"/>
            <w:tcBorders>
              <w:top w:val="single" w:sz="4" w:space="0" w:color="000001"/>
              <w:left w:val="single" w:sz="4" w:space="0" w:color="000001"/>
              <w:bottom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Зона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Перелік вулиць та провулків</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 xml:space="preserve">1 - </w:t>
            </w:r>
            <w:r>
              <w:rPr>
                <w:color w:val="000000"/>
                <w:sz w:val="24"/>
                <w:szCs w:val="24"/>
              </w:rPr>
              <w:t>центральна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Пушкіна, Титова, Ушакова</w:t>
            </w:r>
          </w:p>
        </w:tc>
      </w:tr>
      <w:tr>
        <w:trPr>
          <w:trHeight w:val="4615" w:hRule="atLeast"/>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 xml:space="preserve">2 - </w:t>
            </w:r>
            <w:r>
              <w:rPr>
                <w:color w:val="000000"/>
                <w:sz w:val="24"/>
                <w:szCs w:val="24"/>
              </w:rPr>
              <w:t>середня</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w:t>
            </w:r>
          </w:p>
          <w:p>
            <w:pPr>
              <w:pStyle w:val="Normal"/>
              <w:widowControl w:val="false"/>
              <w:tabs>
                <w:tab w:val="clear" w:pos="706"/>
                <w:tab w:val="left" w:pos="6165" w:leader="none"/>
              </w:tabs>
              <w:spacing w:lineRule="auto" w:line="240" w:before="120" w:after="0"/>
              <w:jc w:val="both"/>
              <w:rPr>
                <w:color w:val="000000"/>
              </w:rPr>
            </w:pPr>
            <w:r>
              <w:rPr>
                <w:b/>
                <w:color w:val="000000"/>
                <w:sz w:val="24"/>
                <w:szCs w:val="24"/>
              </w:rPr>
              <w:t>смт.Чортомлик</w:t>
            </w:r>
            <w:r>
              <w:rPr>
                <w:color w:val="000000"/>
                <w:sz w:val="24"/>
                <w:szCs w:val="24"/>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p>
            <w:pPr>
              <w:pStyle w:val="Normal"/>
              <w:widowControl w:val="false"/>
              <w:tabs>
                <w:tab w:val="clear" w:pos="706"/>
                <w:tab w:val="left" w:pos="6165" w:leader="none"/>
              </w:tabs>
              <w:spacing w:lineRule="auto" w:line="240" w:before="0" w:after="0"/>
              <w:jc w:val="both"/>
              <w:rPr>
                <w:color w:val="000000"/>
                <w:sz w:val="24"/>
                <w:szCs w:val="24"/>
              </w:rPr>
            </w:pPr>
            <w:r>
              <w:rPr>
                <w:color w:val="000000"/>
                <w:sz w:val="24"/>
                <w:szCs w:val="24"/>
              </w:rPr>
            </w:r>
          </w:p>
          <w:p>
            <w:pPr>
              <w:pStyle w:val="Normal"/>
              <w:widowControl w:val="false"/>
              <w:tabs>
                <w:tab w:val="clear" w:pos="706"/>
                <w:tab w:val="left" w:pos="6165" w:leader="none"/>
              </w:tabs>
              <w:spacing w:lineRule="auto" w:line="240" w:before="0" w:after="0"/>
              <w:jc w:val="both"/>
              <w:rPr>
                <w:color w:val="000000"/>
              </w:rPr>
            </w:pPr>
            <w:r>
              <w:rPr>
                <w:b/>
                <w:color w:val="000000"/>
                <w:sz w:val="24"/>
                <w:szCs w:val="24"/>
                <w:shd w:fill="auto" w:val="clear"/>
              </w:rPr>
              <w:t>с.Шолохове</w:t>
            </w:r>
            <w:r>
              <w:rPr>
                <w:color w:val="000000"/>
                <w:sz w:val="24"/>
                <w:szCs w:val="24"/>
                <w:shd w:fill="auto" w:val="clear"/>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widowControl w:val="false"/>
              <w:tabs>
                <w:tab w:val="clear" w:pos="706"/>
                <w:tab w:val="left" w:pos="6165" w:leader="none"/>
              </w:tabs>
              <w:spacing w:lineRule="auto" w:line="240" w:before="0" w:after="0"/>
              <w:jc w:val="both"/>
              <w:rPr>
                <w:color w:val="000000"/>
              </w:rPr>
            </w:pPr>
            <w:r>
              <w:rPr>
                <w:color w:val="000000"/>
                <w:sz w:val="24"/>
                <w:szCs w:val="24"/>
                <w:shd w:fill="auto" w:val="clear"/>
              </w:rPr>
              <w:t>провулки: Вільний, Крутий, Ломаний, Прямий.</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 xml:space="preserve">3 - </w:t>
            </w:r>
            <w:r>
              <w:rPr>
                <w:color w:val="000000"/>
                <w:sz w:val="24"/>
                <w:szCs w:val="24"/>
              </w:rPr>
              <w:t>периферійна</w:t>
            </w:r>
          </w:p>
        </w:tc>
        <w:tc>
          <w:tcPr>
            <w:tcW w:w="8798"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смт.Гірницьке</w:t>
            </w:r>
            <w:r>
              <w:rPr>
                <w:color w:val="000000"/>
                <w:sz w:val="24"/>
                <w:szCs w:val="24"/>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с.П.Хутори</w:t>
            </w:r>
            <w:r>
              <w:rPr>
                <w:color w:val="000000"/>
                <w:sz w:val="24"/>
                <w:szCs w:val="24"/>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 xml:space="preserve">с. Миронівка </w:t>
            </w:r>
            <w:r>
              <w:rPr>
                <w:color w:val="000000"/>
                <w:sz w:val="24"/>
                <w:szCs w:val="24"/>
              </w:rPr>
              <w:t>вулиці: Дальня, Набережна, Січова, Шевченко, Садова, Шкільна, Зарічна, Матросова;</w:t>
            </w:r>
          </w:p>
          <w:p>
            <w:pPr>
              <w:pStyle w:val="Normal"/>
              <w:widowControl w:val="false"/>
              <w:tabs>
                <w:tab w:val="clear" w:pos="706"/>
                <w:tab w:val="left" w:pos="6165" w:leader="none"/>
              </w:tabs>
              <w:spacing w:lineRule="auto" w:line="240" w:before="0" w:after="0"/>
              <w:jc w:val="both"/>
              <w:rPr>
                <w:color w:val="000000"/>
              </w:rPr>
            </w:pPr>
            <w:r>
              <w:rPr>
                <w:color w:val="000000"/>
                <w:sz w:val="24"/>
                <w:szCs w:val="24"/>
              </w:rPr>
              <w:t>провулки: Гагаріна, Матросова, Партизанський, Степовий, Шкільний.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с.Улянівка</w:t>
            </w:r>
            <w:r>
              <w:rPr>
                <w:color w:val="000000"/>
                <w:sz w:val="24"/>
                <w:szCs w:val="24"/>
              </w:rPr>
              <w:t xml:space="preserve"> вулиці: Гагаріна, Чкалова</w:t>
            </w:r>
          </w:p>
        </w:tc>
      </w:tr>
    </w:tbl>
    <w:p>
      <w:pPr>
        <w:pStyle w:val="Normal"/>
        <w:tabs>
          <w:tab w:val="clear" w:pos="706"/>
          <w:tab w:val="left" w:pos="6165" w:leader="none"/>
        </w:tabs>
        <w:spacing w:lineRule="auto" w:line="240" w:before="120" w:after="0"/>
        <w:jc w:val="both"/>
        <w:rPr>
          <w:color w:val="000000"/>
        </w:rPr>
      </w:pPr>
      <w:r>
        <w:rPr>
          <w:color w:val="000000"/>
        </w:rPr>
      </w:r>
    </w:p>
    <w:p>
      <w:pPr>
        <w:pStyle w:val="Normal"/>
        <w:tabs>
          <w:tab w:val="clear" w:pos="706"/>
          <w:tab w:val="left" w:pos="6165" w:leader="none"/>
        </w:tabs>
        <w:spacing w:lineRule="auto" w:line="240" w:before="120" w:after="0"/>
        <w:jc w:val="both"/>
        <w:rPr>
          <w:sz w:val="24"/>
          <w:szCs w:val="24"/>
        </w:rPr>
      </w:pPr>
      <w:r>
        <w:rPr>
          <w:rFonts w:cs="Times New Roman"/>
          <w:b w:val="false"/>
          <w:bCs w:val="false"/>
          <w:color w:val="000000"/>
          <w:position w:val="0"/>
          <w:sz w:val="24"/>
          <w:sz w:val="24"/>
          <w:szCs w:val="24"/>
          <w:vertAlign w:val="baseline"/>
          <w:lang w:val="uk-UA" w:eastAsia="ru-RU"/>
        </w:rPr>
        <w:t>Начальник відділу економіки</w:t>
        <w:tab/>
        <w:tab/>
        <w:tab/>
        <w:tab/>
        <w:t xml:space="preserve">Т.В. </w:t>
      </w:r>
      <w:r>
        <w:rPr>
          <w:rFonts w:eastAsia="Calibri" w:cs="Times New Roman"/>
          <w:b w:val="false"/>
          <w:bCs w:val="false"/>
          <w:color w:val="000000"/>
          <w:kern w:val="0"/>
          <w:position w:val="0"/>
          <w:sz w:val="24"/>
          <w:sz w:val="24"/>
          <w:szCs w:val="24"/>
          <w:vertAlign w:val="baseline"/>
          <w:lang w:val="uk-UA" w:eastAsia="zh-CN" w:bidi="ar-SA"/>
        </w:rPr>
        <w:t>Сідашова</w:t>
      </w:r>
    </w:p>
    <w:p>
      <w:pPr>
        <w:pStyle w:val="Normal"/>
        <w:spacing w:lineRule="auto" w:line="240" w:before="0" w:after="0"/>
        <w:ind w:left="5954" w:hanging="0"/>
        <w:rPr>
          <w:rFonts w:ascii="Times New Roman" w:hAnsi="Times New Roman"/>
          <w:sz w:val="26"/>
          <w:szCs w:val="26"/>
        </w:rPr>
      </w:pPr>
      <w:r>
        <w:rPr>
          <w:sz w:val="26"/>
          <w:szCs w:val="26"/>
        </w:rPr>
      </w:r>
    </w:p>
    <w:p>
      <w:pPr>
        <w:pStyle w:val="Normal"/>
        <w:spacing w:lineRule="auto" w:line="240" w:before="0" w:after="0"/>
        <w:ind w:left="5954" w:hanging="0"/>
        <w:rPr>
          <w:sz w:val="22"/>
          <w:szCs w:val="22"/>
        </w:rPr>
      </w:pPr>
      <w:r>
        <w:rPr>
          <w:sz w:val="22"/>
          <w:szCs w:val="22"/>
        </w:rPr>
        <w:t xml:space="preserve">Додаток  2 </w:t>
      </w:r>
    </w:p>
    <w:p>
      <w:pPr>
        <w:pStyle w:val="Normal"/>
        <w:spacing w:lineRule="auto" w:line="240" w:before="0" w:after="0"/>
        <w:ind w:left="5954" w:hanging="0"/>
        <w:rPr>
          <w:sz w:val="22"/>
          <w:szCs w:val="22"/>
        </w:rPr>
      </w:pPr>
      <w:r>
        <w:rPr>
          <w:sz w:val="22"/>
          <w:szCs w:val="22"/>
        </w:rPr>
        <w:t xml:space="preserve">до рішення ____ сесії </w:t>
      </w:r>
      <w:r>
        <w:rPr>
          <w:rFonts w:eastAsia="Calibri" w:cs="Times New Roman"/>
          <w:color w:val="00000A"/>
          <w:kern w:val="0"/>
          <w:sz w:val="22"/>
          <w:szCs w:val="22"/>
          <w:lang w:val="uk-UA" w:eastAsia="zh-CN" w:bidi="ar-SA"/>
        </w:rPr>
        <w:t>8</w:t>
      </w:r>
      <w:r>
        <w:rPr>
          <w:sz w:val="22"/>
          <w:szCs w:val="22"/>
        </w:rPr>
        <w:t xml:space="preserve"> скликання</w:t>
      </w:r>
    </w:p>
    <w:p>
      <w:pPr>
        <w:pStyle w:val="Normal"/>
        <w:spacing w:lineRule="auto" w:line="240" w:before="0" w:after="0"/>
        <w:ind w:left="5954" w:hanging="0"/>
        <w:rPr>
          <w:sz w:val="22"/>
          <w:szCs w:val="22"/>
        </w:rPr>
      </w:pPr>
      <w:r>
        <w:rPr>
          <w:sz w:val="22"/>
          <w:szCs w:val="22"/>
        </w:rPr>
        <w:t>_____________    № ______</w:t>
      </w:r>
    </w:p>
    <w:p>
      <w:pPr>
        <w:pStyle w:val="Style23"/>
        <w:spacing w:before="57" w:after="57"/>
        <w:rPr>
          <w:sz w:val="22"/>
          <w:szCs w:val="22"/>
        </w:rPr>
      </w:pPr>
      <w:r>
        <w:rPr>
          <w:rFonts w:cs="Times New Roman" w:ascii="Times New Roman" w:hAnsi="Times New Roman"/>
          <w:sz w:val="22"/>
          <w:szCs w:val="22"/>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2"/>
          <w:szCs w:val="22"/>
          <w:vertAlign w:val="superscript"/>
        </w:rPr>
        <w:t>1</w:t>
      </w:r>
    </w:p>
    <w:p>
      <w:pPr>
        <w:pStyle w:val="Style24"/>
        <w:spacing w:lineRule="auto" w:line="240" w:before="0" w:after="0"/>
        <w:jc w:val="both"/>
        <w:rPr>
          <w:sz w:val="22"/>
          <w:szCs w:val="22"/>
        </w:rPr>
      </w:pPr>
      <w:r>
        <w:rPr>
          <w:sz w:val="22"/>
          <w:szCs w:val="22"/>
        </w:rPr>
      </w:r>
    </w:p>
    <w:p>
      <w:pPr>
        <w:pStyle w:val="Style24"/>
        <w:spacing w:before="0" w:after="0"/>
        <w:jc w:val="both"/>
        <w:rPr>
          <w:sz w:val="22"/>
          <w:szCs w:val="22"/>
        </w:rPr>
      </w:pPr>
      <w:r>
        <w:rPr>
          <w:rFonts w:cs="Times New Roman" w:ascii="Times New Roman" w:hAnsi="Times New Roman"/>
          <w:sz w:val="22"/>
          <w:szCs w:val="22"/>
        </w:rPr>
        <w:t>Пільги вводяться в дію з 01 січня 2022 року.</w:t>
      </w:r>
    </w:p>
    <w:p>
      <w:pPr>
        <w:pStyle w:val="Style24"/>
        <w:spacing w:before="0" w:after="0"/>
        <w:jc w:val="both"/>
        <w:rPr>
          <w:sz w:val="22"/>
          <w:szCs w:val="22"/>
        </w:rPr>
      </w:pPr>
      <w:r>
        <w:rPr>
          <w:rFonts w:cs="Times New Roman" w:ascii="Times New Roman" w:hAnsi="Times New Roman"/>
          <w:sz w:val="22"/>
          <w:szCs w:val="22"/>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2082"/>
        <w:gridCol w:w="1571"/>
        <w:gridCol w:w="1762"/>
        <w:gridCol w:w="4341"/>
      </w:tblGrid>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області</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району</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згідно з КОАТУУ</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09</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1212100000</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lang w:val="uk-UA" w:bidi="ar-SA"/>
              </w:rPr>
            </w:pPr>
            <w:r>
              <w:rPr>
                <w:rFonts w:cs="Times New Roman" w:ascii="Times New Roman" w:hAnsi="Times New Roman"/>
                <w:sz w:val="22"/>
                <w:szCs w:val="22"/>
                <w:lang w:val="uk-UA" w:bidi="ar-SA"/>
              </w:rPr>
              <w:t>м. Покров Дніпропетровської області</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1222987001</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с.Шолохове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1222987002</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sz w:val="22"/>
                <w:szCs w:val="22"/>
                <w:lang w:val="uk-UA" w:bidi="ar-SA"/>
              </w:rPr>
            </w:pPr>
            <w:r>
              <w:rPr>
                <w:rFonts w:cs="Times New Roman" w:ascii="Times New Roman" w:hAnsi="Times New Roman"/>
                <w:sz w:val="22"/>
                <w:szCs w:val="22"/>
                <w:lang w:val="uk-UA" w:eastAsia="ru-RU" w:bidi="ar-SA"/>
              </w:rPr>
              <w:t>с.Миронівка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1222987003</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с.Улянівка Дніпропетровської обл</w:t>
            </w:r>
          </w:p>
        </w:tc>
      </w:tr>
    </w:tbl>
    <w:p>
      <w:pPr>
        <w:pStyle w:val="Style24"/>
        <w:jc w:val="both"/>
        <w:rPr>
          <w:rFonts w:ascii="Times New Roman" w:hAnsi="Times New Roman" w:cs="Times New Roman"/>
          <w:sz w:val="22"/>
          <w:szCs w:val="22"/>
        </w:rPr>
      </w:pPr>
      <w:r>
        <w:rPr>
          <w:rFonts w:cs="Times New Roman" w:ascii="Times New Roman" w:hAnsi="Times New Roman"/>
          <w:sz w:val="22"/>
          <w:szCs w:val="22"/>
        </w:rPr>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7508"/>
        <w:gridCol w:w="2248"/>
      </w:tblGrid>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Група платників, категорія/класифікація</w:t>
              <w:br/>
              <w:t>будівель та споруд</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Розмір пільги</w:t>
              <w:br/>
              <w:t>(відсотків суми податкового зобов’язання за рік)</w:t>
            </w:r>
          </w:p>
        </w:tc>
      </w:tr>
      <w:tr>
        <w:trPr>
          <w:trHeight w:val="785" w:hRule="atLeast"/>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комунальні підприємства, у яких у господарському віданні або оперативному управлінні перебувають об’єкти житлової та нежитлової нерухомості, які є власністю Покровської міської територіальної громади Дніпропетровської області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cs="Times New Roman" w:ascii="Times New Roman" w:hAnsi="Times New Roman"/>
                <w:sz w:val="22"/>
                <w:szCs w:val="22"/>
                <w:shd w:fill="auto" w:val="clear"/>
              </w:rPr>
              <w:t>фізичні особи, у власності яких перебувають господарські (присадибні) будівлі – допоміжні (нежитлові приміщення), до яких належать сараї, хліви, гаражі, літні кухні, вбиральні, погреби, навіси, котельні, бойлерні.</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Якщо у власності фізичної особи є декілька будинків</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та, відповідно, прибудинкових територій, така пільга</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застосовується лише для обʼєктів нежитлової нерухомості,</w:t>
            </w:r>
          </w:p>
          <w:p>
            <w:pPr>
              <w:pStyle w:val="Style24"/>
              <w:widowControl w:val="false"/>
              <w:spacing w:lineRule="auto" w:line="216" w:before="0" w:after="0"/>
              <w:ind w:left="0" w:right="0" w:firstLine="28"/>
              <w:jc w:val="left"/>
              <w:rPr>
                <w:sz w:val="22"/>
                <w:szCs w:val="22"/>
                <w:shd w:fill="auto" w:val="clear"/>
              </w:rPr>
            </w:pPr>
            <w:r>
              <w:rPr>
                <w:rFonts w:cs="Times New Roman" w:ascii="Times New Roman" w:hAnsi="Times New Roman"/>
                <w:sz w:val="22"/>
                <w:szCs w:val="22"/>
                <w:shd w:fill="auto" w:val="clear"/>
              </w:rPr>
              <w:t>які розміщені на одній прибудинковій території, що</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знаходиться у власності фізичної особи.</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малозабезпечені та багатодітні сім’ї за один об’єкт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інваліди 1 групи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фізичні особи</w:t>
            </w:r>
            <w:r>
              <w:rPr>
                <w:rFonts w:cs="Times New Roman" w:ascii="Times New Roman" w:hAnsi="Times New Roman"/>
                <w:sz w:val="22"/>
                <w:szCs w:val="22"/>
                <w:shd w:fill="auto" w:val="clear"/>
              </w:rPr>
              <w:t xml:space="preserve">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батьки та сім'ї загиблих воїнів – інтернаціоналістів; батьки та сім'ї військовослужбовців, загиблих при проходженні військової служби; учасники АТО-ООС, які перебувають на обліку в Управлінні праці та соціального захисту населення</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bl>
    <w:p>
      <w:pPr>
        <w:pStyle w:val="Style24"/>
        <w:jc w:val="both"/>
        <w:rPr>
          <w:sz w:val="22"/>
          <w:szCs w:val="22"/>
        </w:rPr>
      </w:pPr>
      <w:r>
        <w:rPr>
          <w:rFonts w:cs="Times New Roman" w:ascii="Times New Roman" w:hAnsi="Times New Roman"/>
          <w:sz w:val="22"/>
          <w:szCs w:val="22"/>
          <w:shd w:fill="auto" w:val="clear"/>
          <w:vertAlign w:val="superscript"/>
        </w:rPr>
        <w:t xml:space="preserve">1 </w:t>
      </w:r>
      <w:r>
        <w:rPr>
          <w:rFonts w:cs="Times New Roman" w:ascii="Times New Roman" w:hAnsi="Times New Roman"/>
          <w:sz w:val="22"/>
          <w:szCs w:val="22"/>
          <w:shd w:fill="auto" w:val="clear"/>
        </w:rPr>
        <w:t>Пільги визначаються з урахуванням норм підпункту 12.3.7 пункту 12.3 статті</w:t>
      </w:r>
      <w:r>
        <w:rPr>
          <w:rFonts w:cs="Times New Roman" w:ascii="Times New Roman" w:hAnsi="Times New Roman"/>
          <w:sz w:val="22"/>
          <w:szCs w:val="22"/>
          <w:shd w:fill="auto" w:val="clear"/>
          <w:lang w:val="ru-RU"/>
        </w:rPr>
        <w:t xml:space="preserve"> </w:t>
      </w:r>
      <w:r>
        <w:rPr>
          <w:rFonts w:cs="Times New Roman" w:ascii="Times New Roman" w:hAnsi="Times New Roman"/>
          <w:sz w:val="22"/>
          <w:szCs w:val="22"/>
          <w:shd w:fill="auto" w:val="clear"/>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clear" w:pos="706"/>
          <w:tab w:val="left" w:pos="6165" w:leader="none"/>
        </w:tabs>
        <w:spacing w:lineRule="auto" w:line="240" w:before="0" w:after="0"/>
        <w:jc w:val="both"/>
        <w:rPr>
          <w:rFonts w:eastAsia="Calibri" w:cs="Times New Roman"/>
          <w:b w:val="false"/>
          <w:b w:val="false"/>
          <w:bCs w:val="false"/>
          <w:color w:val="000000"/>
          <w:kern w:val="0"/>
          <w:position w:val="0"/>
          <w:sz w:val="22"/>
          <w:sz w:val="22"/>
          <w:vertAlign w:val="baseline"/>
          <w:lang w:val="uk-UA" w:eastAsia="zh-CN" w:bidi="ar-SA"/>
        </w:rPr>
      </w:pPr>
      <w:r>
        <w:rPr>
          <w:rFonts w:eastAsia="Calibri" w:cs="Times New Roman"/>
          <w:b w:val="false"/>
          <w:bCs w:val="false"/>
          <w:color w:val="000000"/>
          <w:kern w:val="0"/>
          <w:position w:val="0"/>
          <w:sz w:val="22"/>
          <w:sz w:val="22"/>
          <w:vertAlign w:val="baseline"/>
          <w:lang w:val="uk-UA" w:eastAsia="zh-CN" w:bidi="ar-SA"/>
        </w:rPr>
      </w:r>
    </w:p>
    <w:p>
      <w:pPr>
        <w:pStyle w:val="Normal"/>
        <w:tabs>
          <w:tab w:val="clear" w:pos="706"/>
          <w:tab w:val="left" w:pos="6165" w:leader="none"/>
        </w:tabs>
        <w:spacing w:lineRule="auto" w:line="240" w:before="0" w:after="200"/>
        <w:jc w:val="both"/>
        <w:rPr>
          <w:sz w:val="22"/>
          <w:szCs w:val="22"/>
        </w:rPr>
      </w:pPr>
      <w:r>
        <w:rPr>
          <w:rFonts w:eastAsia="Calibri" w:cs="Times New Roman"/>
          <w:b w:val="false"/>
          <w:bCs w:val="false"/>
          <w:color w:val="000000"/>
          <w:kern w:val="0"/>
          <w:position w:val="0"/>
          <w:sz w:val="22"/>
          <w:sz w:val="22"/>
          <w:szCs w:val="22"/>
          <w:vertAlign w:val="baseline"/>
          <w:lang w:val="uk-UA" w:eastAsia="zh-CN" w:bidi="ar-SA"/>
        </w:rPr>
        <w:t>Начальник відділу економіки</w:t>
        <w:tab/>
        <w:tab/>
        <w:tab/>
        <w:tab/>
        <w:t xml:space="preserve">Т.В. </w:t>
      </w:r>
      <w:r>
        <w:rPr>
          <w:rFonts w:eastAsia="Calibri" w:cs="Times New Roman"/>
          <w:b w:val="false"/>
          <w:bCs w:val="false"/>
          <w:color w:val="00000A"/>
          <w:kern w:val="0"/>
          <w:position w:val="0"/>
          <w:sz w:val="22"/>
          <w:sz w:val="22"/>
          <w:szCs w:val="22"/>
          <w:vertAlign w:val="baseline"/>
          <w:lang w:val="uk-UA" w:eastAsia="zh-CN" w:bidi="ar-SA"/>
        </w:rPr>
        <w:t>Сідашова</w:t>
      </w:r>
    </w:p>
    <w:p>
      <w:pPr>
        <w:pStyle w:val="Normal"/>
        <w:tabs>
          <w:tab w:val="clear" w:pos="706"/>
          <w:tab w:val="left" w:pos="6165" w:leader="none"/>
        </w:tabs>
        <w:spacing w:lineRule="auto" w:line="240" w:before="0" w:after="200"/>
        <w:jc w:val="both"/>
        <w:rPr>
          <w:sz w:val="22"/>
          <w:szCs w:val="22"/>
        </w:rPr>
      </w:pPr>
      <w:r>
        <w:rPr>
          <w:sz w:val="22"/>
          <w:szCs w:val="22"/>
        </w:rPr>
      </w:r>
    </w:p>
    <w:p>
      <w:pPr>
        <w:pStyle w:val="Normal"/>
        <w:tabs>
          <w:tab w:val="clear" w:pos="706"/>
          <w:tab w:val="left" w:pos="6165" w:leader="none"/>
        </w:tabs>
        <w:spacing w:lineRule="auto" w:line="240" w:before="0" w:after="200"/>
        <w:jc w:val="both"/>
        <w:rPr>
          <w:sz w:val="24"/>
          <w:szCs w:val="24"/>
          <w:shd w:fill="FFFF00" w:val="clear"/>
        </w:rPr>
      </w:pPr>
      <w:r>
        <w:rPr/>
      </w:r>
    </w:p>
    <w:sectPr>
      <w:headerReference w:type="default" r:id="rId5"/>
      <w:type w:val="nextPage"/>
      <w:pgSz w:w="11906" w:h="16781"/>
      <w:pgMar w:left="1680" w:right="567" w:header="0" w:top="810" w:footer="0" w:bottom="77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ntiqu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pacing w:before="0" w:after="0"/>
      <w:jc w:val="center"/>
      <w:rPr>
        <w:b/>
        <w:b/>
        <w:bCs/>
        <w:sz w:val="28"/>
        <w:szCs w:val="28"/>
        <w:lang w:val="uk-UA"/>
      </w:rPr>
    </w:pPr>
    <w:r>
      <w:rPr>
        <w:b/>
        <w:bCs/>
        <w:sz w:val="28"/>
        <w:szCs w:val="28"/>
        <w:lang w:val="uk-U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8"/>
        </w:tabs>
        <w:ind w:left="1068" w:hanging="360"/>
      </w:pPr>
      <w:rPr>
        <w:sz w:val="26"/>
        <w:szCs w:val="28"/>
        <w:rFonts w:cs="Times New Roman"/>
        <w:lang w:val="uk-UA" w:bidi="ar-SA"/>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character" w:styleId="WW8Num2z0">
    <w:name w:val="WW8Num2z0"/>
    <w:qFormat/>
    <w:rPr>
      <w:rFonts w:cs="Times New Roman"/>
      <w:sz w:val="28"/>
      <w:szCs w:val="28"/>
      <w:lang w:val="uk-UA"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0">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Header"/>
    <w:basedOn w:val="Normal"/>
    <w:pPr>
      <w:suppressLineNumbers/>
      <w:tabs>
        <w:tab w:val="clear" w:pos="706"/>
        <w:tab w:val="center" w:pos="4819" w:leader="none"/>
        <w:tab w:val="right" w:pos="9638" w:leader="none"/>
      </w:tabs>
    </w:pPr>
    <w:rPr/>
  </w:style>
  <w:style w:type="paragraph" w:styleId="StyleZakonu">
    <w:name w:val="StyleZakonu"/>
    <w:basedOn w:val="Normal"/>
    <w:qFormat/>
    <w:pPr>
      <w:spacing w:lineRule="exact" w:line="220" w:before="0" w:after="60"/>
      <w:ind w:left="0" w:right="0" w:firstLine="284"/>
      <w:jc w:val="both"/>
    </w:pPr>
    <w:rPr>
      <w:rFonts w:ascii="Times New Roman" w:hAnsi="Times New Roman" w:eastAsia="Times New Roman" w:cs="Times New Roman"/>
      <w:sz w:val="20"/>
      <w:szCs w:val="20"/>
    </w:rPr>
  </w:style>
  <w:style w:type="paragraph" w:styleId="Style23">
    <w:name w:val="Назва документа"/>
    <w:basedOn w:val="Normal"/>
    <w:qFormat/>
    <w:pPr>
      <w:keepNext w:val="true"/>
      <w:keepLines/>
      <w:spacing w:lineRule="auto" w:line="240" w:before="240" w:after="240"/>
      <w:jc w:val="center"/>
    </w:pPr>
    <w:rPr>
      <w:rFonts w:ascii="Antiqua" w:hAnsi="Antiqua" w:eastAsia="Times New Roman" w:cs="Antiqua"/>
      <w:b/>
      <w:sz w:val="26"/>
      <w:szCs w:val="20"/>
    </w:rPr>
  </w:style>
  <w:style w:type="paragraph" w:styleId="Style24">
    <w:name w:val="Нормальний текст"/>
    <w:basedOn w:val="Normal"/>
    <w:qFormat/>
    <w:pPr>
      <w:spacing w:lineRule="auto" w:line="240" w:before="120" w:after="0"/>
      <w:ind w:left="0" w:right="0" w:firstLine="567"/>
    </w:pPr>
    <w:rPr>
      <w:rFonts w:ascii="Antiqua" w:hAnsi="Antiqua" w:eastAsia="Times New Roman" w:cs="Antiqua"/>
      <w:sz w:val="26"/>
      <w:szCs w:val="20"/>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185</TotalTime>
  <Application>LibreOffice/7.0.1.2$Linux_X86_64 LibreOffice_project/7cbcfc562f6eb6708b5ff7d7397325de9e764452</Application>
  <Pages>12</Pages>
  <Words>3056</Words>
  <Characters>18269</Characters>
  <CharactersWithSpaces>20705</CharactersWithSpaces>
  <Paragraphs>1188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2021-04-30T13:41:54Z</cp:lastPrinted>
  <dcterms:modified xsi:type="dcterms:W3CDTF">2021-06-09T11:01:23Z</dcterms:modified>
  <cp:revision>63</cp:revision>
  <dc:subject/>
  <dc:title/>
</cp:coreProperties>
</file>