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№34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ar-SA"/>
        </w:rPr>
        <w:t>25.12.2025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14:00 год.                                          Кінець засідання: 15:30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  Сергій КУРАСОВ — секретар міської ради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10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227"/>
        <w:gridCol w:w="5841"/>
      </w:tblGrid>
      <w:tr>
        <w:trPr>
          <w:trHeight w:val="330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46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2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419"/>
        <w:gridCol w:w="5647"/>
      </w:tblGrid>
      <w:tr>
        <w:trPr>
          <w:trHeight w:val="484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64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484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64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7"/>
        <w:gridCol w:w="5717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Дар`я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СОЛЯНКО Віталій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ХОМІК Олексій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1. Основне питання: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>Про стан виконання Комплексної програми з безбар'єрного простору в Покровській міській територіальній громаді на 2024-2026 роки у 2025 році</w:t>
      </w:r>
    </w:p>
    <w:p>
      <w:pPr>
        <w:pStyle w:val="Style24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 xml:space="preserve">Доповідач: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заступник міського голови з виконавчої роботи Олександр ЧИСТЯКОВ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bidi="ar-SA"/>
        </w:rPr>
        <w:t xml:space="preserve">          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>2. Питання - у різному (68  питань).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ab/>
        <w:t>Доповідачі: заступники міського голови з виконавчої роботи за напрямками роботи, керуючий справами виконавчого комітету, секретар міської ради.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ab/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доповідачам доповідати з питань у різному до 10 хв.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стан виконання Комплексної програми з безбар’єрного простору в Покровській міській територіальній громаді Дніпропетровської області на 2024- 2026 роки у 2025 році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продовження договору оренди комунального майна №75/21 від 10.03.2021, укладеного з Територіальним центром соціального обслуговування (надання соціальних послуг) Покровської міської ради Дніпропетровської області, без проведення аукціону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3. СЛУХАЛИ: Про включення до Переліку першого типу нежитлової будівлі, розташованої за адресою: вул.Поштова, буд.5, с.Шолохове, Нікопольський р-н, Дніпропетровська обл.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508/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4. СЛУХАЛИ:  Про виключення об'єкта нерухомого майна з Переліку першого типу об’єктів комунальної власності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509/06-53-25,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5. СЛУХАЛИ: Про зняття з контролю договору купівлі-продажу об'єкта приватизації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№510 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6.СЛУХАЛИ: Про затвердження проектно-кошторисної документації за робочим проектом: «Капітальний ремонт підвалу під найпростіше укриття будівлі КЗ «ЛІЦЕЙ №5 ПОКРОВСЬКОЇ МІСЬКОЇ РАДИ ДНІПРОПЕТРОВСЬКОЇ ОБЛАСТІ» за адресою: вул. Центральна, 35, м. Покров, Нікопольський район, Дніпропетровська область»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№511/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7.СЛУХАЛИ: Про затвердження проектно-кошторисної документації за робочим проектом: «Капітальний ремонт підвалу під найпростіше укриття будівлі КЗ «ЛІЦЕЙ №6 ПОКРОВСЬКОЇ МІСЬКОЇ РАДИ ДНІПРОПЕТРОВСЬКОЇ ОБЛАСТІ» за адресою: вул. Чіатурська, 6, м. Покров, Нікопольський район, Дніпропетровська область»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№512 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8.СЛУХАЛИ: Про затвердження штатного розпису управління освіти виконавчого комітету Покровської міської ради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513/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9.СЛУХАЛИ: Про затвердження структури і штатної чисельності працівників управління житлово-комунального господарства та будівництва виконавчого комітету Покровської міської ради з 01.01.2026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№514 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10.СЛУХАЛИ: Про затвердження штатного розпису управління житлово-комунального господарства та будівництва виконавчого комітету Покровської міської ради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515/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11.СЛУХАЛИ: Про погодження Фінансового плану комунального підприємства «Центральна міська лікарня Покровської міської ради Дніпропетровської області» на 2025 рік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516/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12.СЛУХАЛИ: Про погодження Фінансового плану комунального підприємства «Центральна міська лікарня Покровської міської ради Дніпропетровської області»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№517 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13.СЛУХАЛИ:Про погодження штатного розпису комунального підприємства «Центральна міська лікарня Покровської міської ради Дніпропетровської області» з 01.01.2026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518/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14.СЛУХАЛИ: Про погодження Фінансового плану комунального некомерційного підприємства «Центр первинної медико-санітарної допомоги Покровської міської ради Дніпропетровської області»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№519/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15.СЛУХАЛИ: Про погодження штатного розпису комунального некомерційного підприємства «Центр первинної медико-санітарної допомоги Покровської міської ради Дніпропетровської області»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520/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16.СЛУХАЛИ: Про погодження штатного розпису Покровського міського комунального підприємства «ЖИТЛКОМСЕРВІС»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№521/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17.СЛУХАЛИ: Про погодження штатного розпису Покровського міського комунального підприємства «Добробут»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№522/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18.СЛУХАЛИ: Про погодження штатного розпису Міського комунального підприємства «Покровське виробниче управління водопровідно-каналізаційного господарства» (МКП «Покровводоканал»)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523/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19.СЛУХАЛИ: Про затвердження проектно-кошторисної документації по об’єкту: «Капітальний ремонт магістрального трубопроводу ДУ 500мм від колодязя на вул. Європейська до колодязя на вул. Карпатська в м. Покров Нікопольського району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524/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20.СЛУХАЛИ: Про затвердження проектно-кошторисної документації по об’єкту: «Капітальний ремонт внутрішньоквартального трубопроводу Ду=250мм, від колодязя поблизу будинку №1 по вул. Соборна до колодязя поблизу будинку №4 по вул. Джонсона в м. Покров Нікопольського району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525/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21.СЛУХАЛИ: Про затвердження складу постійно діючої комісії з питань видалення зелених насаджень в межах Покровської міської територіальної громади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526/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22.СЛУХАЛИ: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1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527/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23.СЛУХАЛИ: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2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528/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24.СЛУХАЛИ: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3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529/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25.СЛУХАЛИ: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4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№530/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26.СЛУХАЛИ: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5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№531/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27.СЛУХАЛИ: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6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532/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28.СЛУХАЛИ: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7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533/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29.СЛУХАЛИ: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8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№534/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30.СЛУХАЛИ: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9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535/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31.СЛУХАЛИ: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Комісії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 10 від 23 грудня 2025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536/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32.СЛУХАЛИ: Про погодження продовження терміну користування місцем розміщення тимчасової споруди біля магазину «АТБ» на вул. Джонсона, 29 ФОП Коваль Ю.В.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№537/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33.СЛУХАЛИ: Про погодження продовження терміну користування місцем розміщення тимчасової споруди біля магазину «АТБ» на вул. Джонсона, 29 ФОП Трофименку О.А.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№538 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34.СЛУХАЛИ: Про погодження продовження терміну користування місцем розміщення тимчасової споруди біля магазину «АТБ» на вул. Джонсона, 29 ФОП Артьомовій С.П.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№539/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35.СЛУХАЛИ: Про погодження продовження терміну користування місцем розміщення групи тимчасових споруд біля будинку № 15 на вул. Соборній ФОП Цепкову С.В.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№540/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36.СЛУХАЛИ: Про виключення квартири № 15 у житловому будинку № 2 на вулиці Європейській з житлового фонду міста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37.СЛУХАЛИ: Про подання позовної заяви до Покровського міського суду Дніпропетровської області про визнання особи недієздатною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38.СЛУХАЛИ: Про доцільність призначення опікуном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39.СЛУХАЛИ: Про затвердження складу опікунської ради при виконавчому комітеті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40.СЛУХАЛИ: Про затвердження складу комісії з питань направлення дітей, які потребують особливої уваги і підтримки, до дитячих закладів оздоровлення та відпочинку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41.СЛУХАЛИ: Про внесення змін до рішення виконавчого комітету Покровської міської ради від 16.12.2024 № № 834/06-53-24 «Про утворення ветеранської Партнерської ради при виконавчому комітеті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42.СЛУХАЛИ: Про затвердження складу комісії з питань захисту прав дитини при виконавчому комітеті Покровської міської ради Дніпропетровської області у новій редакції.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43.СЛУХАЛИ: Про затвердження персонального складу комісії з питань встановлення пам’ятних знаків, меморіальних, анотаційних дошок, пам’ятників та монументів у Покровській міській територіальній громаді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548/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44.СЛУХАЛИ: Про погодження штатного розпису закладів культури та відділу культури, туризму, національностей і релігій виконавчого комітету Покровської міської ради Дніпропетровської області на 2026рік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№549/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45.СЛУХАЛИ: Про затвердження штатного розпису на 2026 рік комунального закладу «Малий груповий будинок «Надія»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№550/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46.СЛУХАЛИ: Про затвердження штатного розпису Центру соціальних служб Покровської міської ради Дніпропетровської області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47.СЛУХАЛИ: Про затвердження штатного розпису територіального центру соціального обслуговування (надання соціальних послуг) Покровської міської ради Дніпропетровської області 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48.СЛУХАЛИ: Про переукладання договору найму житлового приміщення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49.СЛУХАЛИ: Про переукладання договору найму житлового приміщення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№554/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50.СЛУХАЛИ: Про переукладання договору найму житлового приміщення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51.СЛУХАЛИ: Про переукладання договору найму житлового приміщення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52.СЛУХАЛИ: Про переукладання договору найму житлового приміщення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53.СЛУХАЛИ: Про переукладання договору найму житлового приміщення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558/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54.СЛУХАЛИ: Про взяття на облік громадян, які потребують поліпшення житлових умов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559/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55.СЛУХАЛИ: Про взяття на облік громадян, які потребують поліпшення житлових умов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56.СЛУХАЛИ: Про зняття громадян з квартирної черги.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57.СЛУХАЛИ: Про відмову у взятті на квартирний облік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- 9 </w:t>
        <w:tab/>
        <w:tab/>
        <w:t>«Утримався» - 1</w:t>
        <w:tab/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58.СЛУХАЛИ: Про розподіл житла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59.СЛУХАЛИ: Про розподіл житла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60.СЛУХАЛИ: Про виключення жилого приміщення з числа службових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61.СЛУХАЛИ: Про затвердження списків громадян, які потребують поліпшення житлових умов та перебувають на квартирному 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о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бліку за  місцем проживання.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62.СЛУХАЛИ: Про виділення матеріальних цінностей з міського матеріального резерву Покровської міської територіальної громади для ліквідації наслідків надзвичайної ситуації воєнного характеру, проведення невідкладних відновлювальних робіт, забезпечення безперебійної роботи закладів освіти, охорони здоров’я, пунктів незламності в межах Покровської міської територіальної громади та структурних підрозділів виконавчого комітету Покровської міської ради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63.СЛУХАЛИ: Про план засідань виконавчого комітету Покровської міської ради на            І півріччя 2026 року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568/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ІІ. Блок питань з обмеженим доступом </w:t>
      </w: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center"/>
        <w:rPr>
          <w:rStyle w:val="Style17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64.СЛУХАЛИ: Про звільнення від здійснення повноважень піклувальника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569/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65.СЛУХАЛИ: Про влаштування неповнолітньої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на повне державне утримання до ДПТНЗ «Білоцерківське вище професійне училище будівництва та сервісу».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570/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66.СЛУХАЛИ: Про встановлення опіки/піклування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571/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67.СЛУХАЛИ: Про призначення опікуна над майном неповнолітньої дитини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572/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68.СЛУХАЛИ: Про визначення місця проживання малолітніх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народження,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з батьком,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573/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69.СЛУХАЛИ: 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батьківських прав відносно малолітніх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народження,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Дар`ю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574/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Секретар міської ради </w:t>
        <w:tab/>
        <w:tab/>
        <w:tab/>
        <w:tab/>
        <w:tab/>
        <w:tab/>
        <w:t xml:space="preserve">Сергій КУРАСОВ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Додаток до протоколу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засідання виконавчого комітету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25.12.2025 № 34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рішень чергового засідання  виконавчого комітету Покровської міської ради</w:t>
      </w:r>
    </w:p>
    <w:p>
      <w:pPr>
        <w:pStyle w:val="Style24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25.12.2025</w:t>
      </w:r>
    </w:p>
    <w:p>
      <w:pPr>
        <w:pStyle w:val="Style24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tbl>
      <w:tblPr>
        <w:tblW w:w="10107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6"/>
        <w:gridCol w:w="7950"/>
        <w:gridCol w:w="1711"/>
      </w:tblGrid>
      <w:tr>
        <w:trPr>
          <w:trHeight w:val="45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1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стан виконання Комплексної програми з безбар’єрного простору в Покровській міській територіальній громаді Дніпропетровської області на 2024- 2026 роки у 2025 році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>Про продовження договору оренди комунального майна №75/21 від 10.03.2021, укладеного з Територіальним центром соціального обслуговування (надання соціальних послуг) Покровської міської ради Дніпропетровської області, без проведення аукціону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включення до Переліку першого типу нежитлової будівлі, розташованої за адресою: вул.Поштова, буд.5, с.Шолохове, Нікопольський р-н, Дніпропетровська обл.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виключення об'єкта нерухомого майна з Переліку першого типу об’єктів комунальної власності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зняття з контролю договору купівлі-продажу об'єкта приватизації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проектно-кошторисної документації за робочим проектом: «Капітальний ремонт підвалу під найпростіше укриття будівлі КЗ «ЛІЦЕЙ №5 ПОКРОВСЬКОЇ МІСЬКОЇ РАДИ ДНІПРОПЕТРОВСЬКОЇ ОБЛАСТІ» за адресою: вул. Центральна, 35, м. Покров, Нікопольський район, Дніпропетровська область»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проектно-кошторисної документації за робочим проектом: «Капітальний ремонт підвалу під найпростіше укриття будівлі КЗ «ЛІЦЕЙ №6 ПОКРОВСЬКОЇ МІСЬКОЇ РАДИ ДНІПРОПЕТРОВСЬКОЇ ОБЛАСТІ» за адресою: вул. Чіатурська, 6, м. Покров, Нікопольський район, Дніпропетровська область»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управління освіти виконавчого комітету Покровської міської ради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структури і штатної чисельності працівників управління житлово-комунального господарства та будівництва виконавчого комітету Покровської міської ради з 01.01.2026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управління житлово-комунального господарства та будівництва виконавчого комітету Покровської міської ради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Фінансового плану комунального підприємства «Центральна міська лікарня Покровської міської ради Дніпропетровської області» на 2025 рік у новій редакції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Фінансового плану комунального підприємства «Центральна міська лікарня Покровської міської ради Дніпропетровської області»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комунального підприємства «Центральна міська лікарня Покровської міської ради Дніпропетровської області» з 01.01.2026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Фінансового плану комунального некомерційного підприємства «Центр первинної медико-санітарної допомоги Покровської міської ради Дніпропетровської області»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комунального некомерційного підприємства «Центр первинної медико-санітарної допомоги Покровської міської ради Дніпропетровської області»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Покровського міського комунального підприємства «ЖИТЛКОМСЕРВІС»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Покровського міського комунального підприємства «Добробут»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Міського комунального підприємства «Покровське виробниче управління водопровідно-каналізаційного господарства» (МКП «Покровводоканал»)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проектно-кошторисної документації по об’єкту: «Капітальний ремонт магістрального трубопроводу ДУ 500мм від колодязя на вул. Європейська до колодязя на вул. Карпатська в м. Покров Нікопольського району Дніпропетровської області»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проектно-кошторисної документації по об’єкту: «Капітальний ремонт внутрішньоквартального трубопроводу Ду=250мм, від колодязя поблизу будинку №1 по вул. Соборна до колодязя поблизу будинку №4 по вул. Джонсона в м. Покров Нікопольського району Дніпропетровської області»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складу постійно діючої комісії з питань видалення зелених насаджень в межах Покровської міської територіальної громади у новій редакції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jc w:val="both"/>
              <w:textAlignment w:val="baseline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  <w:lang w:val="uk-UA"/>
              </w:rPr>
              <w:t xml:space="preserve">1 від 23 грудня 2025 </w:t>
            </w:r>
            <w:r>
              <w:rPr>
                <w:rStyle w:val="Strong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2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3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5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6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7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8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9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uk-UA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магазину «АТБ» на вул. Джонсона, 29 ФОП Коваль Ю.В.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магазину «АТБ» на вул. Джонсона, 29 ФОП Трофименку О.А.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магазину «АТБ» на вул. Джонсона, 29 ФОП Артьомовій С.П.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15 на вул. Соборній ФОП Цепкову С.В.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виключення квартири № 15 у житловому будинку № 2 на вулиці Європейській з житлового фонду міста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подання позовної заяви до Покровського міського суду Дніпропетровської області про визнання особи недієздатною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доцільність призначення опікуном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складу опікунської ради при виконавчому комітеті Покровської міської ради Дніпропетровської області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складу комісії з питань направлення дітей, які потребують особливої уваги і підтримки, до дитячих закладів оздоровлення та відпочинку у новій редакції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внесення змін до рішення виконавчого комітету Покровської міської ради від 16.12.2024 № № 834/06-53-24 «Про утворення ветеранської Партнерської ради при виконавчому комітеті Покровської міської ради Дніпропетровської області»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>Про затвердження складу комісії з питань захисту прав дитини при виконавчому комітеті Покровської міської ради Дніпропетровської області у новій редакції.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персонального складу комісії з питань встановлення пам’ятних знаків, меморіальних, анотаційних дошок, пам’ятників та монументів у Покровській міській територіальній громаді у новій редакції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закладів культури та відділу культури, туризму, національностей і релігій виконавчого комітету Покровської міської ради Дніпропетровської області на 2026рік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на 2026 рік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Центру соціальних служб Покровської міської ради Дніпропетровської області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територіального центру соціального обслуговування (надання соціальних послуг) Покровської міської ради Дніпропетровської області  на 2026 рік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взяття на облік громадян, які потребують поліпшення житлових умов 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взяття на облік громадян, які потребують поліпшення житлових умов 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зняття громадян з квартирної черги.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відмову у взятті на квартирний облік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розподіл житла.</w:t>
            </w:r>
          </w:p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розподіл житла</w:t>
            </w:r>
          </w:p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виключення жилого приміщення з числа службових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 затвердження  списків громадян, які потребують поліпшення житлових умов та перебувають на квартирному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бліку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val="uk-UA"/>
              </w:rPr>
              <w:t>за  місцем проживання.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виділення матеріальних цінностей з міського матеріального резерву Покровської міської територіальної громади для ліквідації наслідків надзвичайної ситуації воєнного характеру, проведення невідкладних відновлювальних робіт, забезпечення безперебійної роботи закладів освіти, охорони здоров’я, пунктів незламності в межах Покровської міської територіальної громади та структурних підрозділів виконавчого комітету Покровської міської ради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Сергвй КУРАСОВ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план засідань виконавчого комітету Покровської міської ради на            І півріччя 2026 року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101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64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>Про звільнення від здійснення повноважень піклувальника</w:t>
            </w:r>
          </w:p>
          <w:p>
            <w:pPr>
              <w:pStyle w:val="14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65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Про влаштування неповнолітньої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 року народження на повне державне утримання до ДПТНЗ «Білоцерківське вище професійне училище будівництва та сервісу».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66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>Про встановлення опіки/піклування</w:t>
            </w:r>
          </w:p>
          <w:p>
            <w:pPr>
              <w:pStyle w:val="14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67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>Про призначення опікуна над майном неповнолітньої дитини</w:t>
            </w:r>
          </w:p>
          <w:p>
            <w:pPr>
              <w:pStyle w:val="14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68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Про визначення місця проживання малолітніх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 року народження,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 року народження з батьком,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 року народження.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69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 року народження батьківських прав відносно малолітніх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 року народження,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 xml:space="preserve"> року народження.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</w:tbl>
    <w:p>
      <w:pPr>
        <w:pStyle w:val="Style24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</w:r>
    </w:p>
    <w:p>
      <w:pPr>
        <w:pStyle w:val="Style24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              Оксана ТОВКАНЬ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6874</TotalTime>
  <Application>LibreOffice/7.4.3.2$Windows_X86_64 LibreOffice_project/1048a8393ae2eeec98dff31b5c133c5f1d08b890</Application>
  <AppVersion>15.0000</AppVersion>
  <Pages>21</Pages>
  <Words>5123</Words>
  <Characters>37029</Characters>
  <CharactersWithSpaces>41908</CharactersWithSpaces>
  <Paragraphs>586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2025-12-29T15:46:22Z</cp:lastPrinted>
  <dcterms:modified xsi:type="dcterms:W3CDTF">2025-12-29T16:27:55Z</dcterms:modified>
  <cp:revision>1092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