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16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16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16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16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16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>пленарного засідання поза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/1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16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16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  <w:r>
        <w:rPr>
          <w:rFonts w:cs="Bookman Old Style" w:ascii="Bookman Old Style" w:hAnsi="Bookman Old Style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08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червня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ab/>
        <w:t xml:space="preserve"> </w:t>
        <w:tab/>
        <w:t xml:space="preserve">10.00 год.    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>-  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  депутат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а</w:t>
      </w:r>
      <w:r>
        <w:rPr>
          <w:sz w:val="28"/>
          <w:szCs w:val="28"/>
          <w:lang w:val="uk-UA"/>
        </w:rPr>
        <w:t xml:space="preserve">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11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0" w:right="0" w:firstLine="3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Александрова А.О.,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Барабах А.М.,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Дяченко Н.В., Калюка О.В., Лукашенко Е.Ю., Малий В.Ю., Мациборко І.М., Мациборко С.М.,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Меркулов Р.М., Міщенко Д.В., 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16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О.І.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Павлюк Віталій Валерійович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Пастух Анатолій Іванович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Головуючий звернувся до депутатів щодо змін та доповнень до запланованого порядку денного та поставив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його</w:t>
      </w:r>
      <w:r>
        <w:rPr>
          <w:sz w:val="28"/>
          <w:szCs w:val="28"/>
          <w:lang w:val="uk-UA"/>
        </w:rPr>
        <w:t xml:space="preserve"> на голосування  в цілому:  </w:t>
      </w:r>
    </w:p>
    <w:p>
      <w:pPr>
        <w:pStyle w:val="Normal"/>
        <w:spacing w:lineRule="auto" w:line="240" w:before="57" w:after="57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1.Про внесення змін в Регламент Покровської міської ради Нікопольського району Дніпропетровської області, затвердженого рішенням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сесії міської ради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скликання  від 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.11.2020 № 1.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                                           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ab/>
        <w:tab/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single"/>
          <w:lang w:val="uk-UA" w:eastAsia="uk-UA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Курасов Сергій Сергійович –  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ab/>
        <w:t xml:space="preserve">        </w:t>
        <w:tab/>
        <w:tab/>
        <w:t>секретар міської ради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   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      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C9211E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Про надання згоди на прийняття до комунальної власності Покровської міської територіальної громади Дніпропетровської області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xx" w:bidi="zxx"/>
        </w:rPr>
        <w:t>витрат по введеному в експлуатацію об’єкту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“Реконструкція відділення екстреної медичної допомоги КП “ЦМЛ Покровської міської ради Дніпропетровської області” за адресою: м.Покров, вул.Медична, 19”, І черга”.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3.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Про надання згоди на прийняття до комунальної власності Покровської міської територіальної громади Дніпропетровської області введеного в експлуатацію об’єкта “Будівництво ДНЗ на 115 місць, вул. І.Малки, м.Покров”.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auto" w:val="clear"/>
          <w:lang w:val="uk-UA" w:eastAsia="ru-RU" w:bidi="ar-SA"/>
        </w:rPr>
        <w:tab/>
        <w:tab/>
        <w:tab/>
        <w:tab/>
        <w:tab/>
        <w:t xml:space="preserve">    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single"/>
          <w:shd w:fill="auto" w:val="clear"/>
          <w:lang w:val="uk-UA" w:eastAsia="ru-RU" w:bidi="ar-SA"/>
        </w:rPr>
        <w:t>Доповідач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auto" w:val="clear"/>
          <w:lang w:val="uk-UA" w:eastAsia="ru-RU" w:bidi="ar-SA"/>
        </w:rPr>
        <w:t xml:space="preserve">: Чистяков  Олександр Геннадійович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pacing w:lineRule="auto" w:line="216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16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color w:val="000000"/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567"/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 w:eastAsia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  міської    ради,</w:t>
      </w:r>
      <w:r>
        <w:rPr>
          <w:sz w:val="28"/>
          <w:szCs w:val="28"/>
          <w:lang w:val="uk-UA"/>
        </w:rPr>
        <w:t xml:space="preserve">    доповів     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  змін   в   Регламент   Покровської   міської   ради </w:t>
        <w:tab/>
        <w:tab/>
        <w:tab/>
        <w:t xml:space="preserve">Нікопольського     району     Дніпропетровської      області, </w:t>
        <w:tab/>
        <w:tab/>
        <w:tab/>
        <w:t xml:space="preserve">затвердженого рішенням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сесії міської ради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скликання  від </w:t>
        <w:tab/>
        <w:tab/>
        <w:tab/>
        <w:t>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.11.2020 № 1.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 рішення   “Про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  змін   в   Регламент </w:t>
        <w:tab/>
        <w:tab/>
        <w:tab/>
        <w:t xml:space="preserve">Покровської   міської    ради    Нікопольського         району </w:t>
        <w:tab/>
        <w:tab/>
        <w:tab/>
        <w:t xml:space="preserve">Дніпропетровської області, затвердженого рішенням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сесії </w:t>
        <w:tab/>
        <w:tab/>
        <w:tab/>
        <w:t xml:space="preserve">міської ради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скликання  від 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.11.2020 № 1”.</w:t>
      </w:r>
    </w:p>
    <w:p>
      <w:pPr>
        <w:pStyle w:val="Normal"/>
        <w:spacing w:lineRule="auto" w:line="228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u w:val="single"/>
          <w:shd w:fill="FFFFFF" w:val="clear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 </w:t>
        <w:tab/>
      </w:r>
      <w:r>
        <w:rPr>
          <w:rFonts w:eastAsia="Times New Roman" w:cs="Times New Roman"/>
          <w:bCs/>
          <w:iCs/>
          <w:color w:val="00000A"/>
          <w:kern w:val="0"/>
          <w:sz w:val="28"/>
          <w:szCs w:val="28"/>
          <w:shd w:fill="FFFFFF" w:val="clear"/>
          <w:lang w:val="uk-UA" w:eastAsia="zh-CN" w:bidi="ar-SA"/>
        </w:rPr>
        <w:t xml:space="preserve">Чистяков О.Г.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>– заступник міського голови, доповів п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надання згоди на прийняття до комунальної власності Покровської міської територіальної громади Дніпропетровської області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xx" w:bidi="zxx"/>
        </w:rPr>
        <w:t>витрат по введеному в експлуатацію об’єкту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“Реконструкція відділення екстреної медичної допомоги КП “ЦМЛ Покровської міської ради Дніпропетровської області” за адресою: м.Покров, вул.Медична, 19”, І черга”.</w:t>
      </w:r>
    </w:p>
    <w:p>
      <w:pPr>
        <w:pStyle w:val="Normal"/>
        <w:spacing w:lineRule="auto" w:line="216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>прийняти  рішення  “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П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ро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надання  згоди на прийняття до </w:t>
        <w:tab/>
        <w:tab/>
        <w:tab/>
        <w:t xml:space="preserve">комунальної власності Покровської міської територіальної </w:t>
        <w:tab/>
        <w:tab/>
        <w:tab/>
        <w:t xml:space="preserve">громади Дніпропетровської області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xx" w:bidi="zxx"/>
        </w:rPr>
        <w:t xml:space="preserve">витрат по введеному в </w:t>
        <w:tab/>
        <w:tab/>
        <w:tab/>
        <w:t>експлуатацію об’єкту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“Реконструкція відділення екстреної </w:t>
        <w:tab/>
        <w:tab/>
        <w:tab/>
        <w:t xml:space="preserve">медичної  допомоги  КП “ЦМЛ Покровської міської ради </w:t>
        <w:tab/>
        <w:tab/>
        <w:tab/>
        <w:t xml:space="preserve">Дніпропетровської    області”   за   адресою:   м.  Покров, </w:t>
        <w:tab/>
        <w:tab/>
        <w:tab/>
        <w:t>вул.Медична, 19”, І черга”.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spacing w:lineRule="auto" w:line="216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3.СЛУХАЛИ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надання згоди на прийняття до комунальної власності Покровської міської територіальної громади Дніпропетровської області введеного в експлуатацію об’єкта “Будівництво ДНЗ на 115 місць, вул. І.Малки, м.Покров”.</w:t>
      </w:r>
    </w:p>
    <w:p>
      <w:pPr>
        <w:pStyle w:val="Normal"/>
        <w:spacing w:lineRule="auto" w:line="216"/>
        <w:ind w:left="0" w:right="0" w:hanging="0"/>
        <w:jc w:val="both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надання згоди на прийняття до комунальної власності Покровської міської територіальної громади Дніпропетровської області введеного в експлуатацію об’єкта “Будівництво ДНЗ на 115 місць, вул. І.Малки, м.Покров”.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0" w:right="0" w:firstLine="284"/>
        <w:jc w:val="center"/>
        <w:rPr/>
      </w:pPr>
      <w:r>
        <w:rPr/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позачергової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>/1 сесії міської ради 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16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1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16"/>
        <w:jc w:val="both"/>
        <w:rPr/>
      </w:pPr>
      <w:r>
        <w:rPr/>
      </w:r>
    </w:p>
    <w:p>
      <w:pPr>
        <w:pStyle w:val="Normal"/>
        <w:spacing w:lineRule="auto" w:line="216"/>
        <w:jc w:val="both"/>
        <w:rPr/>
      </w:pPr>
      <w:r>
        <w:rPr/>
      </w:r>
    </w:p>
    <w:p>
      <w:pPr>
        <w:pStyle w:val="Normal"/>
        <w:spacing w:lineRule="auto" w:line="216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В.В. Павлюк</w:t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16"/>
        <w:jc w:val="left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А.І. Пастух</w:t>
      </w:r>
      <w:r>
        <w:rPr>
          <w:sz w:val="28"/>
          <w:szCs w:val="28"/>
          <w:lang w:val="uk-UA"/>
        </w:rPr>
        <w:t xml:space="preserve">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8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paragraph" w:styleId="Style12">
    <w:name w:val="Заголовок"/>
    <w:basedOn w:val="Normal"/>
    <w:next w:val="Style13"/>
    <w:qFormat/>
    <w:pPr>
      <w:jc w:val="center"/>
    </w:pPr>
    <w:rPr>
      <w:sz w:val="28"/>
      <w:lang w:val="uk-UA"/>
    </w:rPr>
  </w:style>
  <w:style w:type="paragraph" w:styleId="Style13">
    <w:name w:val="Body Text"/>
    <w:basedOn w:val="Normal"/>
    <w:pPr>
      <w:jc w:val="both"/>
    </w:pPr>
    <w:rPr>
      <w:lang w:val="uk-UA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7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1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2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Application>LibreOffice/7.0.3.1$Windows_X86_64 LibreOffice_project/d7547858d014d4cf69878db179d326fc3483e082</Application>
  <Pages>3</Pages>
  <Words>639</Words>
  <Characters>4373</Characters>
  <CharactersWithSpaces>5644</CharactersWithSpaces>
  <Paragraphs>73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2021-06-08T11:04:10Z</cp:lastPrinted>
  <dcterms:modified xsi:type="dcterms:W3CDTF">2021-06-08T13:42:56Z</dcterms:modified>
  <cp:revision>25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