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ru-RU" w:eastAsia="zh-CN" w:bidi="ar-SA"/>
        </w:rPr>
        <w:t>11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27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черв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tru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25" w:type="dxa"/>
        <w:jc w:val="left"/>
        <w:tblInd w:w="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338"/>
        <w:gridCol w:w="4562"/>
      </w:tblGrid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ШАПОВАЛ Олександр 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БОНДАРЕЦЬ Віктор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технічний директор АТ  “Покровський ГЗК”;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ЛІСНІЧЕНКО Євген 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староста старостинського округу;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ТАРАСЕНКО Геннадій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директор ТОВ “Союз”;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МАГЛИШ Андрій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керуючий справами виконкому;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МІЦЬ Людмила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БАРШУНІН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Микола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ГАЛІЧАН Тетяна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ВАРТАНОВ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Георгій </w:t>
            </w:r>
          </w:p>
        </w:tc>
        <w:tc>
          <w:tcPr>
            <w:tcW w:w="456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17" w:type="dxa"/>
        <w:jc w:val="left"/>
        <w:tblInd w:w="50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75"/>
        <w:gridCol w:w="5342"/>
      </w:tblGrid>
      <w:tr>
        <w:trPr>
          <w:trHeight w:val="567" w:hRule="atLeast"/>
        </w:trPr>
        <w:tc>
          <w:tcPr>
            <w:tcW w:w="9817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510" w:hRule="atLeast"/>
        </w:trPr>
        <w:tc>
          <w:tcPr>
            <w:tcW w:w="447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:15 год.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Заявники відсутні.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Про затвердження протоколу про результати електронного аукціону з оренди комунального майна №LLE001- UA-20220525-60721 від 15.06.2022 року.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“Порядком передачі в оренду державного та комунального майна”, затвердженим постановою Кабінету Міністрів України від 03.06.2020 року №483, Законом України від 03.10.2019 №157-ІХ “Про оренду державного та комунального майна”, Законом України “Про місцеве самоврядування в Україні”, запропонував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159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Про дострокове припинення договору оренди комунального майна №36 від 02.01.2022 року, укладеного з ФОП Гончаров А.В. 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Законом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року №483,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запропонував п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ru-RU" w:bidi="hi-IN"/>
        </w:rPr>
        <w:t>ідтрима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160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2"/>
          <w:sz w:val="28"/>
          <w:szCs w:val="28"/>
          <w:lang w:val="uk-UA" w:eastAsia="ru-RU" w:bidi="ar-SA"/>
        </w:rPr>
        <w:t>Про дозвіл на розробку проєктно-кошторисної документації на капітальний ремонт покрівель медичних корпусів комунального підприємства «Центральна міська лікарня Покровської міської ради Дніпропетровської області».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на підставі листа № 1004 від 23.06.2022 комунального підприємства «Центральна міська лікарня Покровської міської ради Дніпропетровської області» (далі – КП «ЦМЛ ПМР ДО») стосовно необхідності розробки проєктно-кошторисної документації за об’єктами: «Капітальний ремонт покрівлі паталого-анатомічного відділення КП «ЦМЛ ПМР ДО»  та «Капітальний ремонт покрівлі частини головного хірургічного корпусу (стоматологічно - поліклінічне відділення) КП «ЦМЛ ПМР ДО», керуючись статтею 31 Закону України «Про місцеве самоврядування в Україні»,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161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Про погодження проведення робіт з благоустрою біля будівлі ЦУМу на вул. Центральній, 47А ТОВ «БІРОЙС». 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статтею 31 Закону України «Про місцеве самоврядування в Україні»,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№162,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uk-UA" w:eastAsia="ru-RU" w:bidi="ar-SA"/>
        </w:rPr>
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>еруючись законами України “Про місцеве самоврядування в Україні”, «Про адміністративні послуги», на виконання рішення сесії міської ради від 28.09.2021 р. №20 «Про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редакції», з метою приведення у відповідність до змін у законодавстві інформаційних та технологічних карток адміністративних послуг соціального спрямування, які надаються через Центр надання адміністративних послуг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63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Про погодження штатного розпису Міського комунального           піприємства «Покровське виробниче управління водопровідно-каналіза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ц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ійного господарства»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lang w:val="ru-RU" w:eastAsia="ru-RU" w:bidi="ar-SA"/>
        </w:rPr>
        <w:t>(МКП «Покровводоканал») на 2022 рік.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 xml:space="preserve">еруючись підпунктом 4 пункту «а» статті 27, статями 32,52 Закону України «Про місцеве самоврядування в Україні»,відповідно до пункту 8,2; 8,3 Статуту Міського комунального підприємства «Покровське виробниче управління водопровідно - каналізаційного господарства (МКП «Покровводоканал»), затвердженого рішенням 13 сесії міської ради 8 скликання від 28.10.2021р. №10 «Про затвердження Статуту МКП «Покровводоканал» у новій редакції», у зв'язку з підвищення мінімальної заробітної плати (Закон України «Про Державний бюджет на 2022 рік» прийнятий 02 грудня 2021 року),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запропонував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№164,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27.06.2022 №11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№11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червня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180" w:type="dxa"/>
        <w:jc w:val="left"/>
        <w:tblInd w:w="-2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3"/>
        <w:gridCol w:w="687"/>
        <w:gridCol w:w="6400"/>
        <w:gridCol w:w="1530"/>
      </w:tblGrid>
      <w:tr>
        <w:trPr>
          <w:trHeight w:val="390" w:hRule="atLeast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159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затвердження протоколу про результати електронного аукціону з оренди комунального майна №LLE001- UA-20220525-60721 від 15.06.2022 року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160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дострокове припинення договору оренди комунального майна №36 від 02.01.2022 року, укладеного з ФОП Гончаров А.В.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161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дозвіл на розробку проєктно-кошторисної документації на капітальний ремонт покрівель медичних корпусів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162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погодження проведення робіт з благоустрою біля будівлі ЦУМу на вул. Центральній, 47А ТОВ «БІРОЙС»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5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163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57" w:right="57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56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164</w:t>
            </w:r>
          </w:p>
        </w:tc>
        <w:tc>
          <w:tcPr>
            <w:tcW w:w="640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 погодження штатного розпису Міського комунального піприємства «Покровське виробниче управління водопровідно-каналіза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ійного господарства»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  <w:t>(МКП «Покровводоканал») на 2022 рік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Чистяков О.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688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</TotalTime>
  <Application>LibreOffice/7.1.5.2$Linux_X86_64 LibreOffice_project/10$Build-2</Application>
  <AppVersion>15.0000</AppVersion>
  <Pages>5</Pages>
  <Words>980</Words>
  <Characters>6750</Characters>
  <CharactersWithSpaces>8105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2022-06-29T12:25:19Z</cp:lastPrinted>
  <dcterms:modified xsi:type="dcterms:W3CDTF">2022-06-29T16:54:19Z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