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8C5" w:rsidRDefault="002968C2">
      <w:pPr>
        <w:pStyle w:val="Textbody"/>
        <w:spacing w:after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5533560</wp:posOffset>
                </wp:positionH>
                <wp:positionV relativeFrom="paragraph">
                  <wp:posOffset>-471960</wp:posOffset>
                </wp:positionV>
                <wp:extent cx="619560" cy="209880"/>
                <wp:effectExtent l="0" t="0" r="2740" b="6020"/>
                <wp:wrapNone/>
                <wp:docPr id="1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0" cy="2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38C5" w:rsidRDefault="002968C2">
                            <w:r>
                              <w:t>копія</w:t>
                            </w:r>
                          </w:p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Фігура1" o:spid="_x0000_s1026" type="#_x0000_t202" style="position:absolute;left:0;text-align:left;margin-left:435.7pt;margin-top:-37.15pt;width:48.8pt;height:16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5FmvgEAAE8DAAAOAAAAZHJzL2Uyb0RvYy54bWysU11qGzEQfi/0DkLvsdaGGGfxOrSElEJo&#13;&#10;C24PIGslr0B/aBTv+q2QO+QEPUChF7Fv1JG8dvrzVvqiHc18O/PNN6Pl7WAN2ckI2ruGTicVJdIJ&#13;&#10;32q3beiXz/dXC0ogcddy451s6F4CvV29frXsQy1nvvOmlZFgEgd1HxrapRRqxkB00nKY+CAdBpWP&#13;&#10;lie8xi1rI+8xuzVsVlVz1vvYhuiFBEDv3SlIVyW/UlKkj0qBTMQ0FLmlcsZybvLJVktebyMPnRYj&#13;&#10;Df4PLCzXDoteUt3xxMlj1H+lslpED16lifCWeaW0kKUH7GZa/dHNuuNBll5QHAgXmeD/pRUfdp8i&#13;&#10;0S3OjhLHLY7o8O34fPhxfDp+PXyfZoH6ADXi1gGRaXjrhwwe/YDO3Pegos1f7IhgHKXeX+SVQyIC&#13;&#10;nfPpzfUcIwJDs+pmsSjys5efQ4T0TnpLstHQiNMrovLdAyQsiNAzJNdy/l4bUyZo3G8OBGYPy8xP&#13;&#10;DLOVhs0w0t74do/d9Dj4hjrcTErMe4e65h05G/FsbM4Gzizw9ODWQWRorgnhzWNCIoVfrnJKPRbH&#13;&#10;qRXa44bltfj1XlAv72D1EwAA//8DAFBLAwQUAAYACAAAACEACL/S2uQAAAAQAQAADwAAAGRycy9k&#13;&#10;b3ducmV2LnhtbEyPT2/CMAzF75P4DpGRdoO0rKKlNEUT0y67DaZJu4XGNNXyp2pCab/9vNN2sWT7&#13;&#10;+fn9qsNkDRtxCJ13AtJ1Agxd41XnWgEf59dVASxE6ZQ03qGAGQMc6sVDJUvl7+4dx1NsGZm4UEoB&#13;&#10;Osa+5Dw0Gq0Ma9+jo93VD1ZGaoeWq0HeydwavkmSLbeyc/RByx6PGpvv080KyKdPj33AI35dx2bQ&#13;&#10;3VyYt1mIx+X0sqfyvAcWcYp/F/DLQPmhpmAXf3MqMCOgyNOMpAJWefYEjBS77Y4QLzTJ0g3wuuL/&#13;&#10;QeofAAAA//8DAFBLAQItABQABgAIAAAAIQC2gziS/gAAAOEBAAATAAAAAAAAAAAAAAAAAAAAAABb&#13;&#10;Q29udGVudF9UeXBlc10ueG1sUEsBAi0AFAAGAAgAAAAhADj9If/WAAAAlAEAAAsAAAAAAAAAAAAA&#13;&#10;AAAALwEAAF9yZWxzLy5yZWxzUEsBAi0AFAAGAAgAAAAhANTTkWa+AQAATwMAAA4AAAAAAAAAAAAA&#13;&#10;AAAALgIAAGRycy9lMm9Eb2MueG1sUEsBAi0AFAAGAAgAAAAhAAi/0trkAAAAEAEAAA8AAAAAAAAA&#13;&#10;AAAAAAAAGAQAAGRycy9kb3ducmV2LnhtbFBLBQYAAAAABAAEAPMAAAApBQAAAAA=&#13;&#10;" filled="f" stroked="f">
                <v:textbox style="mso-fit-shape-to-text:t" inset="0,0,0,0">
                  <w:txbxContent>
                    <w:p w:rsidR="00EC38C5" w:rsidRDefault="002968C2">
                      <w: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EC38C5" w:rsidRDefault="002968C2">
      <w:pPr>
        <w:pStyle w:val="Textbody"/>
        <w:spacing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EC38C5" w:rsidRDefault="002968C2">
      <w:pPr>
        <w:pStyle w:val="Textbody"/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16560</wp:posOffset>
                </wp:positionH>
                <wp:positionV relativeFrom="paragraph">
                  <wp:posOffset>20160</wp:posOffset>
                </wp:positionV>
                <wp:extent cx="6114960" cy="9000"/>
                <wp:effectExtent l="12700" t="12700" r="19140" b="1640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3B81F" id="Прямая соединительная линия 1" o:spid="_x0000_s1026" style="position:absolute;flip:y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.6pt" to="482.8pt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1gBx4wEAAHEDAAAOAAAAZHJzL2Uyb0RvYy54bWysU0uOEzEQ3SNxB8t70t3RKDCtdGYx0bBB&#13;&#10;EInP3nHbaUv+YZt0sgPWSDkCV2DBSCMNcAb3jabszoTfDpGFU67Pc9V71fOLnZJoy5wXRje4mpQY&#13;&#10;MU1NK/Smwa9fXT16gpEPRLdEGs0avGceXywePpj3tmZT0xnZMocARPu6tw3uQrB1UXjaMUX8xFim&#13;&#10;IciNUyTA1W2K1pEe0JUspmU5K3rjWusMZd6DdzkG8SLjc85oeMG5ZwHJBkNvIZ8un+t0Fos5qTeO&#13;&#10;2E7QYxvkH7pQRGh49AS1JIGgd078BaUEdcYbHibUqMJwLijLM8A0VfnHNC87YlmeBcjx9kST/3+w&#13;&#10;9Pl25ZBoGzzFSBMFEsXPw/vhEL/FL8MBDR/ij3gdv8ab+D3eDB/Bvh0+gZ2C8fboPqAqMdlbXwPg&#13;&#10;pV65483blUu07LhTiEth38CSZKJgdLTLOuxPOrBdQBScs6o6O5+BXBRi52WZZSpGlIRmnQ9PmVEo&#13;&#10;GQ2WQieWSE22z3yAlyH1PiW5tbkSUmalpUY9dPB4dpbQCSycf5tLvZGiTWmpwLvN+lI6tCVpa/Iv&#13;&#10;jQewv6WlN5bEd2NeDo37pERgiQEokBr+Ei8jE8lam3afCcp+0DUnHncwLc6v91z980tZ3AEAAP//&#13;&#10;AwBQSwMEFAAGAAgAAAAhAHmnEdndAAAACgEAAA8AAABkcnMvZG93bnJldi54bWxMT8tOwzAQvCPx&#13;&#10;D9YicaNOU4ggzabifayUFgmObrzEgdiOYqdJ/57lBJeRRrM7j2Iz204caQitdwjLRQKCXO116xqE&#13;&#10;t/3L1S2IEJXTqvOOEE4UYFOenxUq135yFR13sRFs4kKuEEyMfS5lqA1ZFRa+J8fapx+sikyHRupB&#13;&#10;TWxuO5kmSSatah0nGNXTo6H6ezdaBBqrSfovak+r5fb1Y343D8/7CvHyYn5aM9yvQUSa498H/G7g&#13;&#10;/lBysYMfnQ6iQ0gzPkRYpSBYvctumB8QrjOQZSH/Tyh/AAAA//8DAFBLAQItABQABgAIAAAAIQC2&#13;&#10;gziS/gAAAOEBAAATAAAAAAAAAAAAAAAAAAAAAABbQ29udGVudF9UeXBlc10ueG1sUEsBAi0AFAAG&#13;&#10;AAgAAAAhADj9If/WAAAAlAEAAAsAAAAAAAAAAAAAAAAALwEAAF9yZWxzLy5yZWxzUEsBAi0AFAAG&#13;&#10;AAgAAAAhAPvWAHHjAQAAcQMAAA4AAAAAAAAAAAAAAAAALgIAAGRycy9lMm9Eb2MueG1sUEsBAi0A&#13;&#10;FAAGAAgAAAAhAHmnEdndAAAACgEAAA8AAAAAAAAAAAAAAAAAPQQAAGRycy9kb3ducmV2LnhtbFBL&#13;&#10;BQYAAAAABAAEAPMAAABHBQAAAAA=&#13;&#10;" strokeweight=".49mm">
                <v:stroke joinstyle="miter" endcap="square"/>
              </v:line>
            </w:pict>
          </mc:Fallback>
        </mc:AlternateContent>
      </w:r>
    </w:p>
    <w:p w:rsidR="00EC38C5" w:rsidRDefault="002968C2">
      <w:pPr>
        <w:pStyle w:val="Textbody"/>
        <w:spacing w:after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C38C5" w:rsidRDefault="002968C2">
      <w:pPr>
        <w:pStyle w:val="Textbody"/>
        <w:spacing w:after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10.07.2019         </w:t>
      </w:r>
      <w:r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</w:t>
      </w:r>
      <w:proofErr w:type="spellStart"/>
      <w:r>
        <w:rPr>
          <w:sz w:val="28"/>
          <w:szCs w:val="28"/>
          <w:lang w:val="ru-RU"/>
        </w:rPr>
        <w:t>м.Покров</w:t>
      </w:r>
      <w:proofErr w:type="spellEnd"/>
      <w:r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№ </w:t>
      </w:r>
      <w:r>
        <w:rPr>
          <w:sz w:val="28"/>
          <w:szCs w:val="28"/>
          <w:lang w:val="uk-UA"/>
        </w:rPr>
        <w:t>311</w:t>
      </w:r>
    </w:p>
    <w:tbl>
      <w:tblPr>
        <w:tblW w:w="550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5"/>
      </w:tblGrid>
      <w:tr w:rsidR="00EC38C5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5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8C5" w:rsidRDefault="00EC38C5">
            <w:pPr>
              <w:pStyle w:val="Standard"/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C38C5" w:rsidRDefault="002968C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затвердження висновку про</w:t>
            </w:r>
          </w:p>
          <w:p w:rsidR="00EC38C5" w:rsidRDefault="002968C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незалежну оцінку ринкової вартості</w:t>
            </w:r>
          </w:p>
          <w:p w:rsidR="00EC38C5" w:rsidRDefault="002968C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будівлі (медвитверезник),</w:t>
            </w:r>
          </w:p>
          <w:p w:rsidR="00EC38C5" w:rsidRDefault="002968C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розташованої по вул. Гагаріна, 18</w:t>
            </w:r>
          </w:p>
        </w:tc>
      </w:tr>
    </w:tbl>
    <w:p w:rsidR="00EC38C5" w:rsidRDefault="00EC38C5">
      <w:pPr>
        <w:pStyle w:val="Standard"/>
        <w:keepNext/>
        <w:suppressAutoHyphens w:val="0"/>
        <w:spacing w:after="0" w:line="240" w:lineRule="auto"/>
        <w:ind w:firstLine="567"/>
        <w:jc w:val="both"/>
      </w:pPr>
    </w:p>
    <w:p w:rsidR="00EC38C5" w:rsidRDefault="002968C2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звіт ТОВ «Авто Маркет» від 30.06.2019р. про незалежну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оцінку ринкової вартості будівлі (медвитверезник), розташованої по вул. Гагаріна, 18, та висновок рецензента про відповідність звіту про оцінку майна, складеного незалежним оцінювачем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Курілець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І.В., керуючись Законом України «Про приватизацію державного 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майна», Методикою оцінки майна, затвердженої постановою Кабінету Міністрів України від 10.12.2003 № 1891 (в редакції постанови Кабінету Міністрів України від 25.11.2015 № 1033), виконком міської ради</w:t>
      </w:r>
    </w:p>
    <w:p w:rsidR="00EC38C5" w:rsidRDefault="00EC38C5">
      <w:pPr>
        <w:pStyle w:val="Standard"/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8C5" w:rsidRDefault="002968C2">
      <w:pPr>
        <w:pStyle w:val="Standard"/>
        <w:keepNext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</w:p>
    <w:p w:rsidR="00EC38C5" w:rsidRDefault="00EC38C5">
      <w:pPr>
        <w:pStyle w:val="Standard"/>
        <w:keepNext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C38C5" w:rsidRDefault="002968C2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висновок 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 Маркет» від 30.06.2019р. про незалежну оцінку ринкової вартості об'єкта комунальної власності Покровської міської ради Дніпропетровської області, який підлягає приватизації шляхом продажу на аукціоні, а саме: будівлі (медвитверезник), розташованої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 Гагаріна, 18, додається. Ринкова вартість об'єкта становить 157 358 (сто п'ятдесят сім тисяч триста п'ятдесят вісім) гривень 00 коп. без ПДВ.</w:t>
      </w:r>
    </w:p>
    <w:p w:rsidR="00EC38C5" w:rsidRDefault="002968C2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Встановити, що ринкова вартість вказаного у пункті 1 даного рішення об'єкту нерухомого майна є стартовою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ціною для його приватизації шляхом продажу на аукціоні.</w:t>
      </w:r>
    </w:p>
    <w:p w:rsidR="00EC38C5" w:rsidRDefault="002968C2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3.Контроль за виконанням  цього  рішення  покласти  на заступника міського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</w:t>
      </w:r>
    </w:p>
    <w:p w:rsidR="00EC38C5" w:rsidRDefault="00EC38C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8C5" w:rsidRDefault="00EC38C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8C5" w:rsidRDefault="00EC38C5">
      <w:pPr>
        <w:pStyle w:val="Standard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8C5" w:rsidRDefault="002968C2">
      <w:pPr>
        <w:pStyle w:val="Standard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О.М. Шаповал</w:t>
      </w:r>
    </w:p>
    <w:p w:rsidR="00EC38C5" w:rsidRDefault="00EC38C5">
      <w:pPr>
        <w:pStyle w:val="Standard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8C5" w:rsidRDefault="00EC38C5">
      <w:pPr>
        <w:pStyle w:val="Standard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8C5" w:rsidRDefault="00EC38C5">
      <w:pPr>
        <w:pStyle w:val="Standard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8C5" w:rsidRDefault="00EC38C5">
      <w:pPr>
        <w:pStyle w:val="Standard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8C5" w:rsidRDefault="00EC38C5">
      <w:pPr>
        <w:pStyle w:val="Standard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8C5" w:rsidRDefault="00EC38C5">
      <w:pPr>
        <w:pStyle w:val="Standard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8C5" w:rsidRDefault="00EC38C5">
      <w:pPr>
        <w:pStyle w:val="Standard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8C5" w:rsidRDefault="00EC38C5">
      <w:pPr>
        <w:pStyle w:val="Standard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8C5" w:rsidRDefault="00EC38C5">
      <w:pPr>
        <w:pStyle w:val="Standard"/>
        <w:suppressAutoHyphens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8C5" w:rsidRDefault="00EC38C5">
      <w:pPr>
        <w:pStyle w:val="Standard"/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38C5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8C2" w:rsidRDefault="002968C2">
      <w:r>
        <w:separator/>
      </w:r>
    </w:p>
  </w:endnote>
  <w:endnote w:type="continuationSeparator" w:id="0">
    <w:p w:rsidR="002968C2" w:rsidRDefault="0029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ndale Sans UI">
    <w:panose1 w:val="020B0604020202020204"/>
    <w:charset w:val="00"/>
    <w:family w:val="auto"/>
    <w:pitch w:val="variable"/>
  </w:font>
  <w:font w:name="Lohit Devanagari"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, 'Arial Unicode MS'"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8C2" w:rsidRDefault="002968C2">
      <w:r>
        <w:rPr>
          <w:color w:val="000000"/>
        </w:rPr>
        <w:separator/>
      </w:r>
    </w:p>
  </w:footnote>
  <w:footnote w:type="continuationSeparator" w:id="0">
    <w:p w:rsidR="002968C2" w:rsidRDefault="00296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38C5"/>
    <w:rsid w:val="002968C2"/>
    <w:rsid w:val="006772B7"/>
    <w:rsid w:val="00EC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969D5-D2A3-284A-9D3B-320637EA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eastAsia="Andale Sans UI" w:hAnsi="Times New Roman" w:cs="Times New Roman"/>
      <w:sz w:val="24"/>
      <w:szCs w:val="24"/>
      <w:lang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a5">
    <w:name w:val="Название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Standard"/>
    <w:pPr>
      <w:suppressLineNumbers/>
    </w:pPr>
    <w:rPr>
      <w:rFonts w:cs="Lohit Devanagari"/>
    </w:rPr>
  </w:style>
  <w:style w:type="paragraph" w:customStyle="1" w:styleId="1">
    <w:name w:val="Указатель1"/>
    <w:basedOn w:val="Standard"/>
    <w:pPr>
      <w:suppressLineNumbers/>
    </w:pPr>
    <w:rPr>
      <w:rFonts w:cs="Arial"/>
    </w:rPr>
  </w:style>
  <w:style w:type="paragraph" w:styleId="2">
    <w:name w:val="Body Text 2"/>
    <w:basedOn w:val="Standard"/>
    <w:pPr>
      <w:jc w:val="both"/>
    </w:pPr>
    <w:rPr>
      <w:rFonts w:ascii="Times New Roman" w:eastAsia="Times New Roman" w:hAnsi="Times New Roman" w:cs="Times New Roman"/>
      <w:sz w:val="26"/>
      <w:lang w:eastAsia="ar-SA"/>
    </w:rPr>
  </w:style>
  <w:style w:type="paragraph" w:customStyle="1" w:styleId="a7">
    <w:name w:val="Содержимое таблицы"/>
    <w:basedOn w:val="Standard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basedOn w:val="Standard"/>
    <w:pPr>
      <w:ind w:left="708"/>
    </w:pPr>
    <w:rPr>
      <w:rFonts w:ascii="Times New Roman" w:eastAsia="Times New Roman" w:hAnsi="Times New Roman" w:cs="Times New Roman"/>
      <w:sz w:val="20"/>
      <w:lang w:eastAsia="ar-SA"/>
    </w:rPr>
  </w:style>
  <w:style w:type="paragraph" w:styleId="3">
    <w:name w:val="Body Text 3"/>
    <w:basedOn w:val="Standard"/>
    <w:pPr>
      <w:spacing w:after="120"/>
    </w:pPr>
    <w:rPr>
      <w:rFonts w:ascii="Times New Roman" w:eastAsia="Times New Roman" w:hAnsi="Times New Roman" w:cs="Times New Roman"/>
      <w:sz w:val="16"/>
      <w:lang w:val="ru-RU" w:eastAsia="ar-SA"/>
    </w:rPr>
  </w:style>
  <w:style w:type="paragraph" w:customStyle="1" w:styleId="20">
    <w:name w:val="Знак Знак Знак Знак Знак Знак Знак Знак2"/>
    <w:basedOn w:val="Standard"/>
    <w:rPr>
      <w:rFonts w:ascii="Verdana" w:eastAsia="Verdana" w:hAnsi="Verdana" w:cs="Verdana"/>
      <w:sz w:val="20"/>
      <w:lang w:val="en-US" w:eastAsia="ar-SA"/>
    </w:rPr>
  </w:style>
  <w:style w:type="paragraph" w:styleId="aa">
    <w:name w:val="Balloon Text"/>
    <w:basedOn w:val="Standard"/>
    <w:rPr>
      <w:rFonts w:ascii="Tahoma" w:eastAsia="Tahoma" w:hAnsi="Tahoma" w:cs="Tahoma"/>
      <w:sz w:val="16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OpenSymbol, 'Arial Unicode MS'"/>
      <w:sz w:val="24"/>
      <w:szCs w:val="24"/>
      <w:lang w:val="uk-UA"/>
    </w:rPr>
  </w:style>
  <w:style w:type="character" w:customStyle="1" w:styleId="WW8Num2z0">
    <w:name w:val="WW8Num2z0"/>
    <w:rPr>
      <w:rFonts w:ascii="Symbol" w:eastAsia="Symbol" w:hAnsi="Symbol" w:cs="OpenSymbol, 'Arial Unicode MS'"/>
    </w:rPr>
  </w:style>
  <w:style w:type="character" w:customStyle="1" w:styleId="WW8Num3z0">
    <w:name w:val="WW8Num3z0"/>
    <w:rPr>
      <w:rFonts w:ascii="Symbol" w:eastAsia="Symbol" w:hAnsi="Symbol" w:cs="OpenSymbol, 'Arial Unicode MS'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OpenSymbol, 'Arial Unicode MS'"/>
    </w:rPr>
  </w:style>
  <w:style w:type="character" w:customStyle="1" w:styleId="WW8Num6z0">
    <w:name w:val="WW8Num6z0"/>
    <w:rPr>
      <w:rFonts w:ascii="Symbol" w:eastAsia="Symbol" w:hAnsi="Symbol" w:cs="OpenSymbol, 'Arial Unicode MS'"/>
    </w:rPr>
  </w:style>
  <w:style w:type="character" w:customStyle="1" w:styleId="WW8Num7z0">
    <w:name w:val="WW8Num7z0"/>
    <w:rPr>
      <w:rFonts w:ascii="Symbol" w:eastAsia="Symbol" w:hAnsi="Symbol" w:cs="OpenSymbol, 'Arial Unicode MS'"/>
    </w:rPr>
  </w:style>
  <w:style w:type="character" w:customStyle="1" w:styleId="WW8Num8z0">
    <w:name w:val="WW8Num8z0"/>
    <w:rPr>
      <w:rFonts w:ascii="Symbol" w:eastAsia="Symbol" w:hAnsi="Symbol" w:cs="OpenSymbol, 'Arial Unicode MS'"/>
    </w:rPr>
  </w:style>
  <w:style w:type="character" w:customStyle="1" w:styleId="WW8Num9z0">
    <w:name w:val="WW8Num9z0"/>
    <w:rPr>
      <w:rFonts w:ascii="Symbol" w:eastAsia="Symbol" w:hAnsi="Symbol" w:cs="OpenSymbol, 'Arial Unicode MS'"/>
    </w:rPr>
  </w:style>
  <w:style w:type="character" w:customStyle="1" w:styleId="WW8Num10z0">
    <w:name w:val="WW8Num10z0"/>
    <w:rPr>
      <w:rFonts w:ascii="Symbol" w:eastAsia="Symbol" w:hAnsi="Symbol" w:cs="OpenSymbol, 'Arial Unicode MS'"/>
    </w:rPr>
  </w:style>
  <w:style w:type="character" w:customStyle="1" w:styleId="WW8Num11z0">
    <w:name w:val="WW8Num11z0"/>
    <w:rPr>
      <w:rFonts w:ascii="Symbol" w:eastAsia="Symbol" w:hAnsi="Symbol" w:cs="OpenSymbol, 'Arial Unicode MS'"/>
    </w:rPr>
  </w:style>
  <w:style w:type="character" w:customStyle="1" w:styleId="WW8Num12z0">
    <w:name w:val="WW8Num12z0"/>
    <w:rPr>
      <w:rFonts w:ascii="Symbol" w:eastAsia="Symbol" w:hAnsi="Symbol" w:cs="OpenSymbol, 'Arial Unicode MS'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ab">
    <w:name w:val="Основной текст Знак"/>
    <w:rPr>
      <w:rFonts w:ascii="Times New Roman" w:eastAsia="Andale Sans UI" w:hAnsi="Times New Roman" w:cs="Times New Roman"/>
      <w:kern w:val="3"/>
      <w:sz w:val="24"/>
      <w:szCs w:val="24"/>
      <w:lang/>
    </w:rPr>
  </w:style>
  <w:style w:type="character" w:customStyle="1" w:styleId="30">
    <w:name w:val="Основной текст 3 Знак"/>
    <w:rPr>
      <w:sz w:val="16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ListLabel1">
    <w:name w:val="ListLabel 1"/>
    <w:rPr>
      <w:rFonts w:eastAsia="OpenSymbol, 'Arial Unicode MS'"/>
      <w:b/>
      <w:sz w:val="22"/>
    </w:rPr>
  </w:style>
  <w:style w:type="character" w:customStyle="1" w:styleId="ac">
    <w:name w:val="Маркеры списка"/>
    <w:rPr>
      <w:rFonts w:ascii="OpenSymbol, 'Arial Unicode MS'" w:eastAsia="OpenSymbol, 'Arial Unicode MS'" w:hAnsi="OpenSymbol, 'Arial Unicode MS'" w:cs="OpenSymbol, 'Arial Unicode MS'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Ekonomika02</dc:creator>
  <cp:lastModifiedBy>Microsoft Office User</cp:lastModifiedBy>
  <cp:revision>2</cp:revision>
  <cp:lastPrinted>1995-11-21T17:41:00Z</cp:lastPrinted>
  <dcterms:created xsi:type="dcterms:W3CDTF">2019-07-16T08:15:00Z</dcterms:created>
  <dcterms:modified xsi:type="dcterms:W3CDTF">2019-07-16T08:15:00Z</dcterms:modified>
</cp:coreProperties>
</file>