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5485765</wp:posOffset>
                </wp:positionH>
                <wp:positionV relativeFrom="paragraph">
                  <wp:posOffset>-367030</wp:posOffset>
                </wp:positionV>
                <wp:extent cx="71501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95pt;margin-top:-28.9pt;width:56.2pt;height:15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24.06.2020 р.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№252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Дніпропетровської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про неможливість примусової реалізації будинку за адресою: Дніпропетровська обл., м.Покров, вул.Історична, буд.68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керуючись ст.18 Закону України «Про охорону дитинства»,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Кабінету Міністрів України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від 24.09.2008 року № 866 «Питання діяльності органів опіки та піклування, пов’язаної  із захистом прав дитини»,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18.06.2020 року (протокол №6),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неможливість примусової реалізації будинку за адресою: Дніпропетровська обл., м.Покров, вул.Історична, буд.68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LibreOffice/6.1.4.2$Windows_x86 LibreOffice_project/9d0f32d1f0b509096fd65e0d4bec26ddd1938fd3</Application>
  <Pages>2</Pages>
  <Words>142</Words>
  <Characters>1038</Characters>
  <CharactersWithSpaces>1306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2020-06-25T09:45:38Z</cp:lastPrinted>
  <dcterms:modified xsi:type="dcterms:W3CDTF">2020-07-02T17:58:21Z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