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5428615</wp:posOffset>
                </wp:positionH>
                <wp:positionV relativeFrom="paragraph">
                  <wp:posOffset>-443230</wp:posOffset>
                </wp:positionV>
                <wp:extent cx="5822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45pt;margin-top:-34.9pt;width:45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2795270</wp:posOffset>
            </wp:positionH>
            <wp:positionV relativeFrom="paragraph">
              <wp:posOffset>-441960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>27.0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5.</w:t>
      </w: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>2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020 р.             </w:t>
      </w: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                              №197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  <w:bookmarkStart w:id="0" w:name="_GoBack"/>
      <w:bookmarkStart w:id="1" w:name="_GoBack"/>
      <w:bookmarkEnd w:id="1"/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 встановлення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способів участі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у вихованні дитини,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141, 157, 158 </w:t>
      </w:r>
      <w:r>
        <w:rPr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21.05.2020 року (протокол №5),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встановлення способів участі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у вихованні дитини,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LibreOffice/6.1.4.2$Windows_x86 LibreOffice_project/9d0f32d1f0b509096fd65e0d4bec26ddd1938fd3</Application>
  <Pages>2</Pages>
  <Words>168</Words>
  <Characters>1107</Characters>
  <CharactersWithSpaces>1427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2020-05-21T16:34:00Z</cp:lastPrinted>
  <dcterms:modified xsi:type="dcterms:W3CDTF">2020-06-04T16:52:55Z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