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-93980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22.04.2020 р.                                     м.Покров                                                № 174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затвердження висновку</w:t>
      </w:r>
      <w:bookmarkStart w:id="0" w:name="_GoBack"/>
      <w:bookmarkEnd w:id="0"/>
      <w:r>
        <w:rPr>
          <w:rStyle w:val="Style15"/>
          <w:lang w:val="uk-U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</w:t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опіки та піклування</w:t>
      </w:r>
      <w:r>
        <w:rPr>
          <w:lang w:val="uk-U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виконавчого комітету </w:t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Покровської міської ради про можливість </w:t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передачі малолітнього ХХХХ, ХХ.ХХ.ХХХХ</w:t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для подальшого виховання матері, </w:t>
      </w:r>
    </w:p>
    <w:p>
      <w:pPr>
        <w:pStyle w:val="Style22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 ХХХХ, ХХ.ХХ.ХХХХ року народження</w:t>
      </w:r>
    </w:p>
    <w:p>
      <w:pPr>
        <w:pStyle w:val="Style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ind w:firstLine="708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17.04.2020 року (протокол №4), виконавчий комітет Покровської міської ради</w:t>
      </w:r>
    </w:p>
    <w:p>
      <w:pPr>
        <w:pStyle w:val="Style22"/>
        <w:ind w:firstLine="708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Style22"/>
        <w:rPr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Style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ind w:firstLine="709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1.Затвердити висновок органу опіки та піклування виконавчого комітету Покровської міської ради про можливість передачі малолітнього ХХХХ, ХХ.ХХ.ХХХХ року народження для подальшого виховання матері, гр.ХХХХ, ХХ.ХХ.ХХХХ року народження, який додається.</w:t>
      </w:r>
    </w:p>
    <w:p>
      <w:pPr>
        <w:pStyle w:val="Style22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 на заступника міського голови  Бондаренко Н.О.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 О.М.Шаповал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68" w:top="112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bCs/>
      </w:rPr>
    </w:pPr>
    <w:r>
      <w:rPr>
        <w:b/>
        <w:bCs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Application>LibreOffice/6.1.4.2$Windows_x86 LibreOffice_project/9d0f32d1f0b509096fd65e0d4bec26ddd1938fd3</Application>
  <Pages>1</Pages>
  <Words>165</Words>
  <Characters>1169</Characters>
  <CharactersWithSpaces>1454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2020-04-23T09:46:59Z</cp:lastPrinted>
  <dcterms:modified xsi:type="dcterms:W3CDTF">2020-04-23T12:08:38Z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