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ПРОЄКТ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bidi w:val="0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cs="Times New Roman" w:ascii="Times New Roman" w:hAnsi="Times New Roman"/>
          <w:sz w:val="16"/>
          <w:szCs w:val="16"/>
          <w:lang w:val="en-US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4365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Про затвердження умов оренди нерухомого комунального майна</w:t>
      </w:r>
      <w:r>
        <w:rPr>
          <w:rFonts w:eastAsia="Times New Roman" w:cs="Liberation Serif;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, розташованого за адресою: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en-US" w:eastAsia="ru-RU" w:bidi="ar-SA"/>
        </w:rPr>
        <w:t xml:space="preserve"> с. Миронівка, пров. Шкільний, 1а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З метою передачі в оренду нерухомого комунального</w:t>
      </w:r>
      <w:r>
        <w:rPr>
          <w:rFonts w:eastAsia="Times New Roman" w:cs="Liberation Serif;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майна, розташованого за адресою: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Дніпропетровська обл., Нікопольський р-н,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en-US" w:eastAsia="ru-RU" w:bidi="ar-SA"/>
        </w:rPr>
        <w:t>с. Миронівка, пров. Шкільний, 1а,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Приміщення нежитлової будівлі клубу загальною площею 11,33 кв.м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розглянувши інформацію надану 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zh-CN" w:bidi="ar-SA"/>
        </w:rPr>
        <w:t>ідділом культури, туризму, національностей і релігій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 лис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ті від 05.01.2023 року № 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ке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руючись Законом України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від 03.10.2019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року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№157-ІХ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"Про оренду де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ржавного та комунального майна", “Порядком передачі в оренду державного та комунального майна”, затвердженим постановою КМУ від 03.06.2020 року №483, виконавчий комітет міської ради</w:t>
      </w:r>
    </w:p>
    <w:p>
      <w:pPr>
        <w:pStyle w:val="Normal"/>
        <w:keepNext w:val="true"/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bidi w:val="0"/>
        <w:spacing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bidi w:val="0"/>
        <w:spacing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риміщення нежитлової будівлі клубу загальною площею 11,33 кв.м, розташованої за адресою: Дніпропетровська обл., Нікопольський р-н, с. Миронівка, пров. Шкільний, 1а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”,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що додаються.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bidi w:val="0"/>
        <w:spacing w:lineRule="auto" w:line="240" w:before="62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ab/>
        <w:tab/>
        <w:tab/>
        <w:tab/>
        <w:tab/>
        <w:tab/>
        <w:t xml:space="preserve">    ЗАТВЕРДЖЕНО</w:t>
      </w:r>
    </w:p>
    <w:p>
      <w:pPr>
        <w:pStyle w:val="Normal"/>
        <w:widowControl w:val="false"/>
        <w:suppressAutoHyphens w:val="true"/>
        <w:bidi w:val="0"/>
        <w:spacing w:lineRule="auto" w:line="240" w:before="62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>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40" w:before="62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>_______________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2023р.  №____</w:t>
      </w:r>
    </w:p>
    <w:p>
      <w:pPr>
        <w:pStyle w:val="Normal"/>
        <w:tabs>
          <w:tab w:val="clear" w:pos="709"/>
          <w:tab w:val="left" w:pos="524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риміщення нежитлової будівлі клубу загальною площею 11,33 кв.м, розташованої за адресою: Дніпропетровська обл., Нікопольський р-н, с. Миронівка, пров. Шкільний, 1а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>”</w:t>
      </w:r>
    </w:p>
    <w:p>
      <w:pPr>
        <w:pStyle w:val="Normal"/>
        <w:tabs>
          <w:tab w:val="clear" w:pos="709"/>
          <w:tab w:val="left" w:pos="524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 xml:space="preserve">1. Умови, на яких здійснюється оренда об’єкта оренди, включеного до Переліку першого типу,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риміщення нежитлової будівлі клубу загальною площею 11,33 кв.м, розташованої за адресою: Дніпропетровська обл., Нікопольський р-н, с. Миронівка, пров. Шкільний, 1а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”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(далі — Об'єкт оренди):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1.1. Розмір стартової орендної плати для: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– 1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1,33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із зниженням стартової ціни —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eastAsia="uk-UA"/>
        </w:rPr>
        <w:t>5,67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за методом покрокового зниження стартової орендної плати та подальшого подання цінових пропозицій –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eastAsia="uk-UA"/>
        </w:rPr>
        <w:t xml:space="preserve"> 5,67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ru-RU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1.2. Строк оренди - 5 років.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1.3. Розмір гарантійного внеску для участі в електронному аукціоні становить 5178,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грн.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 xml:space="preserve">1.4. Розмір реєстраційного внеску: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ru-RU" w:eastAsia="zh-CN" w:bidi="ar-SA"/>
        </w:rPr>
        <w:t>670,00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1.5. Кількість кроків аукціону за методом покрокового зниження стартової орендної плати та подальшого подання цінових пропозицій становить 1 крок.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1.6. 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bidi w:val="0"/>
        <w:spacing w:lineRule="auto" w:line="240"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1.7. Період прийому заяв на участь в електронному аукціоні та період між аукціонами – 7 календарних днів з дати оприлюднення в ЕТС оголошення про передачу майна в оренду.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1.8. 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ab/>
        <w:t>1.9. Цільове призначення Об'єкта оренди: о</w:t>
      </w:r>
      <w:r>
        <w:rPr>
          <w:rFonts w:eastAsia="Noto Serif CJK SC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>б’єкт оренди може бути використаний за будь-яким цільовим призначенням на розсуд орендаря, за винятком таких цільових призначень:</w:t>
      </w:r>
    </w:p>
    <w:p>
      <w:pPr>
        <w:pStyle w:val="Normal"/>
        <w:widowControl w:val="false"/>
        <w:bidi w:val="0"/>
        <w:spacing w:lineRule="auto" w:line="240" w:before="57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>- 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групи;</w:t>
      </w:r>
    </w:p>
    <w:p>
      <w:pPr>
        <w:pStyle w:val="Normal"/>
        <w:widowControl w:val="false"/>
        <w:bidi w:val="0"/>
        <w:spacing w:lineRule="auto" w:line="240" w:before="57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>- заклади харчування, їдальні, буфети, кафе, які не здійснюють продаж товарів підакцизної групи. Торговельні об’єкти, які не здійснюють продаж товарів підакцизної групи;</w:t>
      </w:r>
    </w:p>
    <w:p>
      <w:pPr>
        <w:pStyle w:val="Normal"/>
        <w:widowControl w:val="false"/>
        <w:bidi w:val="0"/>
        <w:spacing w:lineRule="auto" w:line="240" w:before="57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 xml:space="preserve">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Інтернет-кафе; </w:t>
      </w:r>
    </w:p>
    <w:p>
      <w:pPr>
        <w:pStyle w:val="Normal"/>
        <w:widowControl w:val="false"/>
        <w:bidi w:val="0"/>
        <w:spacing w:lineRule="auto" w:line="240" w:before="57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>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журналів;</w:t>
      </w:r>
    </w:p>
    <w:p>
      <w:pPr>
        <w:pStyle w:val="Normal"/>
        <w:bidi w:val="0"/>
        <w:spacing w:lineRule="auto" w:line="240" w:before="57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hi-IN"/>
        </w:rPr>
        <w:t>- ритуальні послуги. Громадські вбиральні. Збір і сортування вторинної сировини.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bidi w:val="0"/>
        <w:spacing w:lineRule="auto" w:line="240" w:before="0" w:after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Т.в.о.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начальника відділу економіки</w:t>
        <w:tab/>
        <w:t xml:space="preserve">          </w:t>
        <w:tab/>
        <w:tab/>
        <w:t xml:space="preserve">             </w:t>
        <w:tab/>
        <w:t xml:space="preserve">  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Яна СЕЛЕЗНЬОВА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rPr>
      <w:color w:val="0000FF"/>
      <w:u w:val="single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LibreOffice/7.3.0.3$Windows_X86_64 LibreOffice_project/0f246aa12d0eee4a0f7adcefbf7c878fc2238db3</Application>
  <AppVersion>15.0000</AppVersion>
  <Pages>3</Pages>
  <Words>560</Words>
  <Characters>3855</Characters>
  <CharactersWithSpaces>4656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2022-11-03T10:04:07Z</dcterms:created>
  <dc:creator/>
  <dc:description/>
  <dc:language>uk-UA</dc:language>
  <cp:lastModifiedBy/>
  <dcterms:modified xsi:type="dcterms:W3CDTF">2023-01-12T09:02:39Z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