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D6" w:rsidRPr="009579D6" w:rsidRDefault="009579D6" w:rsidP="009579D6">
      <w:pPr>
        <w:pageBreakBefore/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zh-CN"/>
        </w:rPr>
      </w:pPr>
    </w:p>
    <w:p w:rsidR="00FC2399" w:rsidRDefault="00FC2399" w:rsidP="00FC2399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ПОКРОВСЬКА МІСЬКА РАДА</w:t>
      </w:r>
    </w:p>
    <w:p w:rsidR="00FC2399" w:rsidRDefault="00FC2399" w:rsidP="00FC2399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ДНІПРОПЕТРОВСЬКОЇ ОБЛАСТІ</w:t>
      </w:r>
    </w:p>
    <w:p w:rsidR="00FC2399" w:rsidRDefault="00FC2399" w:rsidP="00FC2399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FC2399" w:rsidRDefault="0022668E" w:rsidP="00FC2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="00FC239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C2399" w:rsidRDefault="00FC2399" w:rsidP="00FC2399">
      <w:pPr>
        <w:pStyle w:val="2"/>
        <w:ind w:firstLine="0"/>
        <w:jc w:val="left"/>
      </w:pPr>
      <w:r>
        <w:rPr>
          <w:sz w:val="28"/>
          <w:szCs w:val="28"/>
        </w:rPr>
        <w:t xml:space="preserve">____________________                    </w:t>
      </w:r>
      <w:r>
        <w:rPr>
          <w:sz w:val="20"/>
        </w:rPr>
        <w:t xml:space="preserve">  м.Покров</w:t>
      </w:r>
      <w:r>
        <w:rPr>
          <w:sz w:val="28"/>
          <w:szCs w:val="28"/>
        </w:rPr>
        <w:t xml:space="preserve">                               № ___________</w:t>
      </w:r>
    </w:p>
    <w:p w:rsidR="009579D6" w:rsidRPr="009579D6" w:rsidRDefault="009579D6" w:rsidP="009579D6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right="464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затвердження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Програми інформатизації «Цифрова громада» Покровської міської </w:t>
      </w:r>
      <w:r w:rsidR="003552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ради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579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zh-CN"/>
        </w:rPr>
        <w:t>на 2024-2026 роки</w:t>
      </w:r>
    </w:p>
    <w:p w:rsidR="009579D6" w:rsidRPr="009579D6" w:rsidRDefault="009579D6" w:rsidP="009579D6">
      <w:pPr>
        <w:widowControl w:val="0"/>
        <w:suppressAutoHyphens/>
        <w:autoSpaceDE w:val="0"/>
        <w:spacing w:after="0" w:line="240" w:lineRule="auto"/>
        <w:ind w:right="243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850"/>
        <w:contextualSpacing/>
        <w:jc w:val="both"/>
        <w:rPr>
          <w:rFonts w:ascii="Calibri" w:eastAsia="Calibri" w:hAnsi="Calibri" w:cs="Calibri"/>
          <w:lang w:val="uk-UA" w:eastAsia="zh-CN"/>
        </w:rPr>
      </w:pPr>
      <w:r w:rsidRPr="009579D6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З метою визначення стратегії розбудови та </w:t>
      </w:r>
      <w:r w:rsidRPr="009579D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уніфікації інформаційно-комунікаційної інфраструктури</w:t>
      </w:r>
      <w:r w:rsidRPr="009579D6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 Покровської міської територіальної громади</w:t>
      </w:r>
      <w:r w:rsidRPr="009579D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розробки та реалізації нових інтегрованих проектів, що дозволять сформувати єдину сучасну інформаційну систему через упровадження інноваційних підходів, інструментів та технологій електронного урядування, інших суча</w:t>
      </w:r>
      <w:r w:rsidR="003552C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сних інформаційно-комп’ютерних  т</w:t>
      </w:r>
      <w:r w:rsidRPr="009579D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ехнологій,</w:t>
      </w:r>
      <w:r w:rsidRPr="009579D6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 керуючись </w:t>
      </w:r>
      <w:r w:rsidR="003552C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статтею 12 </w:t>
      </w:r>
      <w:r w:rsidR="003552C2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З</w:t>
      </w:r>
      <w:r w:rsidRPr="009579D6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акон</w:t>
      </w:r>
      <w:r w:rsidR="003552C2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у</w:t>
      </w:r>
      <w:r w:rsidRPr="009579D6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 України </w:t>
      </w:r>
      <w:r w:rsidRPr="009579D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"Про Національну програму інформатизації", </w:t>
      </w:r>
      <w:r w:rsidR="003552C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Законом України </w:t>
      </w:r>
      <w:r w:rsidRPr="009579D6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"Про місцеве самоврядування в Україні", міська рада </w:t>
      </w:r>
    </w:p>
    <w:p w:rsidR="009579D6" w:rsidRPr="009579D6" w:rsidRDefault="009579D6" w:rsidP="009579D6">
      <w:pPr>
        <w:suppressAutoHyphens/>
        <w:spacing w:after="0" w:line="240" w:lineRule="auto"/>
        <w:ind w:left="-142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zh-CN"/>
        </w:rPr>
        <w:t>ВИРІШИЛА:</w:t>
      </w: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1.Затвердити Програму інформатизації </w:t>
      </w:r>
      <w:r w:rsidRPr="0095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«Цифрова громада» Покровської міської </w:t>
      </w:r>
      <w:r w:rsidR="003552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ради</w:t>
      </w:r>
      <w:r w:rsidRPr="0095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на 2024-2026 роки</w:t>
      </w:r>
      <w:r w:rsidRPr="009579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zh-CN"/>
        </w:rPr>
        <w:t xml:space="preserve"> (додається).</w:t>
      </w:r>
    </w:p>
    <w:p w:rsidR="009579D6" w:rsidRPr="009579D6" w:rsidRDefault="0022668E" w:rsidP="009579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  <w:r w:rsidR="003552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FC23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Координацію роботи за виконанням цього рішення покласти на відділ цифрового розвитку, програмно-технічного забезпечення і захисту інформації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виконкому Покровської міської ради</w:t>
      </w:r>
      <w:r w:rsidR="00FC23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 контроль - на керуючого справами виконкому Олену ШУЛЬГУ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</w:t>
      </w:r>
      <w:r w:rsidR="00FC23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постійну комісію з питань </w:t>
      </w:r>
      <w:r w:rsidR="00FC2399">
        <w:rPr>
          <w:rFonts w:ascii="Times New Roman" w:eastAsia="MS ??" w:hAnsi="Times New Roman" w:cs="Times New Roman"/>
          <w:sz w:val="28"/>
          <w:szCs w:val="28"/>
          <w:lang w:val="uk-UA" w:eastAsia="zh-CN"/>
        </w:rPr>
        <w:t>соціально-економічного розвитку, планування, бюджету, фінансів, реалізації державної регуляторної політики.</w:t>
      </w: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zh-CN"/>
        </w:rPr>
        <w:t xml:space="preserve">    </w:t>
      </w: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579D6">
        <w:rPr>
          <w:rFonts w:ascii="Times New Roman" w:eastAsia="Times New Roman" w:hAnsi="Times New Roman" w:cs="Times New Roman"/>
          <w:lang w:val="uk-UA" w:eastAsia="zh-CN"/>
        </w:rPr>
        <w:t>Макаров 0505203485</w:t>
      </w: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FC2399" w:rsidRDefault="00FC2399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FC2399" w:rsidRDefault="00FC2399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FC2399" w:rsidRDefault="00FC2399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FC2399" w:rsidRDefault="00FC2399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FC2399" w:rsidRDefault="00FC2399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F73277" w:rsidRPr="009579D6" w:rsidRDefault="00F73277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:rsidR="009579D6" w:rsidRDefault="009579D6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2668E" w:rsidRPr="009579D6" w:rsidRDefault="0022668E" w:rsidP="0095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95F22" w:rsidRDefault="00195F22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0" w:name="_GoBack"/>
      <w:bookmarkEnd w:id="0"/>
      <w:r w:rsidRPr="009579D6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ЗАТВЕРДЖЕНО </w:t>
      </w: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Рішення _ сесії міської ради </w:t>
      </w:r>
    </w:p>
    <w:p w:rsidR="009579D6" w:rsidRPr="009579D6" w:rsidRDefault="0022668E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8</w:t>
      </w:r>
      <w:r w:rsidR="009579D6" w:rsidRPr="009579D6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скликання </w:t>
      </w: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“__” _____ 2023р. № __</w:t>
      </w: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32"/>
          <w:szCs w:val="32"/>
          <w:lang w:val="uk-UA" w:eastAsia="zh-CN"/>
        </w:rPr>
        <w:t xml:space="preserve">Програма інформатизації </w:t>
      </w:r>
    </w:p>
    <w:p w:rsidR="009579D6" w:rsidRPr="009579D6" w:rsidRDefault="009579D6" w:rsidP="009579D6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zh-CN"/>
        </w:rPr>
      </w:pPr>
      <w:r w:rsidRPr="009579D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zh-CN"/>
        </w:rPr>
        <w:t>«Цифрова громада»</w:t>
      </w:r>
    </w:p>
    <w:p w:rsidR="009579D6" w:rsidRPr="009579D6" w:rsidRDefault="009579D6" w:rsidP="009579D6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zh-CN"/>
        </w:rPr>
        <w:t xml:space="preserve">Покровської міської </w:t>
      </w:r>
      <w:r w:rsidR="003552C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zh-CN"/>
        </w:rPr>
        <w:t xml:space="preserve">ради </w:t>
      </w:r>
      <w:r w:rsidRPr="009579D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zh-CN"/>
        </w:rPr>
        <w:t xml:space="preserve"> на 2024-2026 роки</w:t>
      </w:r>
    </w:p>
    <w:p w:rsidR="009579D6" w:rsidRPr="009579D6" w:rsidRDefault="009579D6" w:rsidP="009579D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9579D6" w:rsidRPr="009579D6" w:rsidRDefault="009579D6" w:rsidP="009579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9579D6" w:rsidRPr="009579D6" w:rsidRDefault="009579D6" w:rsidP="009579D6">
      <w:pPr>
        <w:suppressAutoHyphens/>
        <w:spacing w:after="30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Програма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інформатизації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«Цифрова громада»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Покровської міської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ради на 2024-2026 роки</w:t>
      </w:r>
    </w:p>
    <w:p w:rsidR="009579D6" w:rsidRPr="009579D6" w:rsidRDefault="009579D6" w:rsidP="009579D6">
      <w:pPr>
        <w:tabs>
          <w:tab w:val="left" w:pos="378"/>
        </w:tabs>
        <w:suppressAutoHyphens/>
        <w:spacing w:after="0" w:line="25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1" w:name="bookmark0"/>
      <w:bookmarkStart w:id="2" w:name="bookmark1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І.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Паспорт</w:t>
      </w:r>
      <w:bookmarkEnd w:id="1"/>
      <w:bookmarkEnd w:id="2"/>
    </w:p>
    <w:p w:rsidR="009579D6" w:rsidRPr="009579D6" w:rsidRDefault="009579D6" w:rsidP="009579D6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інформатизації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«Цифрова громада»</w:t>
      </w:r>
    </w:p>
    <w:p w:rsidR="009579D6" w:rsidRPr="009579D6" w:rsidRDefault="009579D6" w:rsidP="009579D6">
      <w:pPr>
        <w:suppressAutoHyphens/>
        <w:spacing w:after="0" w:line="254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Покровської міської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ради на 2024-2026 роки</w:t>
      </w:r>
    </w:p>
    <w:p w:rsidR="009579D6" w:rsidRPr="003552C2" w:rsidRDefault="009579D6" w:rsidP="009579D6">
      <w:pPr>
        <w:framePr w:w="4435" w:h="751" w:hRule="exact" w:wrap="none" w:vAnchor="page" w:hAnchor="page" w:x="6271" w:y="3466"/>
        <w:pBdr>
          <w:bottom w:val="single" w:sz="4" w:space="0" w:color="auto"/>
        </w:pBdr>
        <w:suppressAutoHyphens/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52C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Покровська міська</w:t>
      </w:r>
      <w:r w:rsidRPr="003552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552C2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територіальна</w:t>
      </w:r>
      <w:r w:rsidRPr="003552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громада</w:t>
      </w:r>
    </w:p>
    <w:p w:rsidR="009579D6" w:rsidRPr="009579D6" w:rsidRDefault="009579D6" w:rsidP="009579D6">
      <w:pPr>
        <w:framePr w:w="4435" w:h="751" w:hRule="exact" w:wrap="none" w:vAnchor="page" w:hAnchor="page" w:x="6271" w:y="3466"/>
        <w:pBdr>
          <w:bottom w:val="single" w:sz="4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  <w:t>_______________</w:t>
      </w:r>
    </w:p>
    <w:p w:rsidR="009579D6" w:rsidRPr="009579D6" w:rsidRDefault="009579D6" w:rsidP="009579D6">
      <w:pPr>
        <w:suppressAutoHyphens/>
        <w:spacing w:after="0" w:line="254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79D6" w:rsidRPr="009579D6" w:rsidRDefault="009579D6" w:rsidP="009579D6">
      <w:pPr>
        <w:framePr w:w="4690" w:h="3360" w:hRule="exact" w:wrap="none" w:vAnchor="page" w:hAnchor="page" w:x="1366" w:y="3481"/>
        <w:widowControl w:val="0"/>
        <w:numPr>
          <w:ilvl w:val="0"/>
          <w:numId w:val="1"/>
        </w:numPr>
        <w:tabs>
          <w:tab w:val="left" w:pos="562"/>
        </w:tabs>
        <w:suppressAutoHyphens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Найменування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територіальної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громади</w:t>
      </w:r>
    </w:p>
    <w:p w:rsidR="009579D6" w:rsidRPr="009579D6" w:rsidRDefault="009579D6" w:rsidP="009579D6">
      <w:pPr>
        <w:framePr w:w="4690" w:h="3360" w:hRule="exact" w:wrap="none" w:vAnchor="page" w:hAnchor="page" w:x="1366" w:y="3481"/>
        <w:widowControl w:val="0"/>
        <w:numPr>
          <w:ilvl w:val="0"/>
          <w:numId w:val="1"/>
        </w:numPr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погодження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проєкту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Програми Генеральним державним замовником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національної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програми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інформатизації</w:t>
      </w:r>
    </w:p>
    <w:p w:rsidR="009579D6" w:rsidRPr="009579D6" w:rsidRDefault="009579D6" w:rsidP="009579D6">
      <w:pPr>
        <w:framePr w:w="4690" w:h="3360" w:hRule="exact" w:wrap="none" w:vAnchor="page" w:hAnchor="page" w:x="1366" w:y="3481"/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9D6" w:rsidRPr="009579D6" w:rsidRDefault="009579D6" w:rsidP="009579D6">
      <w:pPr>
        <w:framePr w:w="4690" w:h="3360" w:hRule="exact" w:wrap="none" w:vAnchor="page" w:hAnchor="page" w:x="1366" w:y="3481"/>
        <w:widowControl w:val="0"/>
        <w:numPr>
          <w:ilvl w:val="0"/>
          <w:numId w:val="1"/>
        </w:numPr>
        <w:tabs>
          <w:tab w:val="left" w:pos="562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Заголовок, дата, номер розпорядчого документа про затвердження Програми</w:t>
      </w:r>
    </w:p>
    <w:p w:rsidR="009579D6" w:rsidRPr="009579D6" w:rsidRDefault="009579D6" w:rsidP="009579D6">
      <w:pPr>
        <w:framePr w:w="4690" w:h="3360" w:hRule="exact" w:wrap="none" w:vAnchor="page" w:hAnchor="page" w:x="1366" w:y="3481"/>
        <w:widowControl w:val="0"/>
        <w:numPr>
          <w:ilvl w:val="0"/>
          <w:numId w:val="1"/>
        </w:numPr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Розробник Програми</w:t>
      </w: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5D1F97">
      <w:pPr>
        <w:framePr w:w="4435" w:h="8102" w:hRule="exact" w:wrap="none" w:vAnchor="page" w:hAnchor="page" w:x="6226" w:y="4291"/>
        <w:pBdr>
          <w:top w:val="single" w:sz="4" w:space="0" w:color="auto"/>
          <w:bottom w:val="single" w:sz="4" w:space="0" w:color="auto"/>
        </w:pBdr>
        <w:suppressAutoHyphens/>
        <w:spacing w:after="80" w:line="28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№ ___________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9579D6" w:rsidRPr="009579D6" w:rsidRDefault="009579D6" w:rsidP="005D1F97">
      <w:pPr>
        <w:framePr w:w="4435" w:h="8102" w:hRule="exact" w:wrap="none" w:vAnchor="page" w:hAnchor="page" w:x="6226" w:y="4291"/>
        <w:pBdr>
          <w:top w:val="single" w:sz="4" w:space="0" w:color="auto"/>
          <w:bottom w:val="single" w:sz="4" w:space="0" w:color="auto"/>
        </w:pBdr>
        <w:suppressAutoHyphens/>
        <w:spacing w:after="80" w:line="28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Рішення сесії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579D6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 xml:space="preserve">№_______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 ________</w:t>
      </w:r>
    </w:p>
    <w:p w:rsidR="009579D6" w:rsidRDefault="009579D6" w:rsidP="005D1F97">
      <w:pPr>
        <w:framePr w:w="4435" w:h="8102" w:hRule="exact" w:wrap="none" w:vAnchor="page" w:hAnchor="page" w:x="6226" w:y="4291"/>
        <w:pBdr>
          <w:top w:val="single" w:sz="4" w:space="0" w:color="auto"/>
        </w:pBdr>
        <w:tabs>
          <w:tab w:val="left" w:leader="underscore" w:pos="1339"/>
          <w:tab w:val="left" w:leader="underscore" w:pos="4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Відділ цифрового розвитку, програмно-технічного забезпечення та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79D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захисту інформації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(назва структурн</w:t>
      </w:r>
      <w:r w:rsidR="005D1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ого підрозділу органу місцевого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самоврядування)</w:t>
      </w:r>
    </w:p>
    <w:p w:rsidR="005D1F97" w:rsidRPr="009579D6" w:rsidRDefault="005D1F97" w:rsidP="005D1F97">
      <w:pPr>
        <w:framePr w:w="4435" w:h="8102" w:hRule="exact" w:wrap="none" w:vAnchor="page" w:hAnchor="page" w:x="6226" w:y="4291"/>
        <w:pBdr>
          <w:top w:val="single" w:sz="4" w:space="0" w:color="auto"/>
        </w:pBdr>
        <w:tabs>
          <w:tab w:val="left" w:leader="underscore" w:pos="1339"/>
          <w:tab w:val="left" w:leader="underscore" w:pos="4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9D6" w:rsidRPr="009579D6" w:rsidRDefault="009579D6" w:rsidP="005D1F97">
      <w:pPr>
        <w:framePr w:w="4435" w:h="8102" w:hRule="exact" w:wrap="none" w:vAnchor="page" w:hAnchor="page" w:x="6226" w:y="4291"/>
        <w:pBdr>
          <w:top w:val="single" w:sz="4" w:space="0" w:color="auto"/>
        </w:pBdr>
        <w:tabs>
          <w:tab w:val="left" w:leader="underscore" w:pos="1382"/>
          <w:tab w:val="left" w:leader="underscore" w:pos="4358"/>
          <w:tab w:val="left" w:leader="underscore" w:pos="4359"/>
          <w:tab w:val="left" w:leader="underscore" w:pos="43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Керуючий справами викокому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79D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Олена ШУЛЬГА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(посада, прізвищ</w:t>
      </w:r>
      <w:r w:rsidR="005D1F97">
        <w:rPr>
          <w:rFonts w:ascii="Times New Roman" w:eastAsia="Times New Roman" w:hAnsi="Times New Roman" w:cs="Times New Roman"/>
          <w:sz w:val="24"/>
          <w:szCs w:val="24"/>
          <w:lang w:eastAsia="zh-CN"/>
        </w:rPr>
        <w:t>е, власне ім’я, по батькові (за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наявності), номер телефону, електронна адреса))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9579D6" w:rsidRPr="009579D6" w:rsidRDefault="009579D6" w:rsidP="005D1F97">
      <w:pPr>
        <w:framePr w:w="4435" w:h="8102" w:hRule="exact" w:wrap="none" w:vAnchor="page" w:hAnchor="page" w:x="6226" w:y="4291"/>
        <w:pBdr>
          <w:top w:val="single" w:sz="4" w:space="0" w:color="auto"/>
        </w:pBdr>
        <w:tabs>
          <w:tab w:val="left" w:leader="underscore" w:pos="1382"/>
          <w:tab w:val="left" w:leader="underscore" w:pos="4358"/>
          <w:tab w:val="left" w:leader="underscore" w:pos="4359"/>
          <w:tab w:val="left" w:leader="underscore" w:pos="43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Виконавчий комітет Покровської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міської ради</w:t>
      </w:r>
    </w:p>
    <w:p w:rsidR="009579D6" w:rsidRPr="009579D6" w:rsidRDefault="009579D6" w:rsidP="005D1F97">
      <w:pPr>
        <w:framePr w:w="4435" w:h="8102" w:hRule="exact" w:wrap="none" w:vAnchor="page" w:hAnchor="page" w:x="6226" w:y="429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Відділ цифрового розвитку, програмно-технічного забезпечення та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захисту інформації виконавчого комітету Покровської міської ради, Загальний відділ виконавчого комітету Покровської міської ради</w:t>
      </w: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1F97" w:rsidRPr="009579D6" w:rsidRDefault="005D1F97" w:rsidP="005D1F97">
      <w:pPr>
        <w:framePr w:wrap="none" w:vAnchor="page" w:hAnchor="page" w:x="1306" w:y="7531"/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9D6" w:rsidRPr="009579D6" w:rsidRDefault="009579D6" w:rsidP="005D1F97">
      <w:pPr>
        <w:framePr w:wrap="none" w:vAnchor="page" w:hAnchor="page" w:x="1306" w:y="7531"/>
        <w:widowControl w:val="0"/>
        <w:numPr>
          <w:ilvl w:val="0"/>
          <w:numId w:val="1"/>
        </w:numPr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Керівник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Програми</w:t>
      </w: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framePr w:w="4690" w:h="1301" w:hRule="exact" w:wrap="none" w:vAnchor="page" w:hAnchor="page" w:x="1351" w:y="9841"/>
        <w:widowControl w:val="0"/>
        <w:numPr>
          <w:ilvl w:val="0"/>
          <w:numId w:val="1"/>
        </w:numPr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Виконавці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Програми (учасники)</w:t>
      </w: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framePr w:w="4109" w:h="3154" w:hRule="exact" w:wrap="none" w:vAnchor="page" w:hAnchor="page" w:x="1531" w:y="12196"/>
        <w:widowControl w:val="0"/>
        <w:numPr>
          <w:ilvl w:val="0"/>
          <w:numId w:val="1"/>
        </w:numPr>
        <w:tabs>
          <w:tab w:val="left" w:pos="562"/>
        </w:tabs>
        <w:suppressAutoHyphens/>
        <w:spacing w:after="6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Строк виконання Програми</w:t>
      </w:r>
    </w:p>
    <w:p w:rsidR="009579D6" w:rsidRPr="009579D6" w:rsidRDefault="009579D6" w:rsidP="009579D6">
      <w:pPr>
        <w:framePr w:w="4109" w:h="3154" w:hRule="exact" w:wrap="none" w:vAnchor="page" w:hAnchor="page" w:x="1531" w:y="12196"/>
        <w:widowControl w:val="0"/>
        <w:numPr>
          <w:ilvl w:val="0"/>
          <w:numId w:val="1"/>
        </w:numPr>
        <w:tabs>
          <w:tab w:val="left" w:pos="562"/>
        </w:tabs>
        <w:suppressAutoHyphens/>
        <w:spacing w:after="10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Джерела та обсяги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фінансування</w:t>
      </w:r>
    </w:p>
    <w:p w:rsidR="009579D6" w:rsidRPr="009579D6" w:rsidRDefault="009579D6" w:rsidP="009579D6">
      <w:pPr>
        <w:framePr w:w="4109" w:h="3154" w:hRule="exact" w:wrap="none" w:vAnchor="page" w:hAnchor="page" w:x="1531" w:y="12196"/>
        <w:suppressAutoHyphens/>
        <w:spacing w:after="0" w:line="283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Загальний обсяг, тис. грн, у тому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числі:</w:t>
      </w:r>
    </w:p>
    <w:p w:rsidR="009579D6" w:rsidRPr="009579D6" w:rsidRDefault="009579D6" w:rsidP="009579D6">
      <w:pPr>
        <w:framePr w:w="4109" w:h="3154" w:hRule="exact" w:wrap="none" w:vAnchor="page" w:hAnchor="page" w:x="1531" w:y="12196"/>
        <w:suppressAutoHyphens/>
        <w:spacing w:after="0" w:line="283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державний бюджет</w:t>
      </w:r>
    </w:p>
    <w:p w:rsidR="009579D6" w:rsidRPr="009579D6" w:rsidRDefault="009579D6" w:rsidP="009579D6">
      <w:pPr>
        <w:framePr w:w="4109" w:h="3154" w:hRule="exact" w:wrap="none" w:vAnchor="page" w:hAnchor="page" w:x="1531" w:y="12196"/>
        <w:suppressAutoHyphens/>
        <w:spacing w:after="0" w:line="283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обласний бюджет</w:t>
      </w:r>
    </w:p>
    <w:p w:rsidR="009579D6" w:rsidRPr="009579D6" w:rsidRDefault="009579D6" w:rsidP="009579D6">
      <w:pPr>
        <w:framePr w:w="4109" w:h="3154" w:hRule="exact" w:wrap="none" w:vAnchor="page" w:hAnchor="page" w:x="1531" w:y="12196"/>
        <w:suppressAutoHyphens/>
        <w:spacing w:after="0" w:line="283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районний бюджет</w:t>
      </w:r>
    </w:p>
    <w:p w:rsidR="009579D6" w:rsidRPr="009579D6" w:rsidRDefault="009579D6" w:rsidP="009579D6">
      <w:pPr>
        <w:framePr w:w="4109" w:h="3154" w:hRule="exact" w:wrap="none" w:vAnchor="page" w:hAnchor="page" w:x="1531" w:y="12196"/>
        <w:suppressAutoHyphens/>
        <w:spacing w:after="0" w:line="283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бюджет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територіальної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громади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інші </w:t>
      </w:r>
      <w:r w:rsidRPr="009579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джерела</w:t>
      </w:r>
    </w:p>
    <w:p w:rsidR="009579D6" w:rsidRPr="009579D6" w:rsidRDefault="009579D6" w:rsidP="009579D6">
      <w:pPr>
        <w:framePr w:wrap="none" w:vAnchor="page" w:hAnchor="page" w:x="7111" w:y="12121"/>
        <w:suppressAutoHyphens/>
        <w:spacing w:after="0" w:line="240" w:lineRule="auto"/>
        <w:ind w:left="10" w:right="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4"/>
          <w:szCs w:val="24"/>
          <w:lang w:eastAsia="zh-CN"/>
        </w:rPr>
        <w:t>січень 2024 - грудень 2026</w:t>
      </w: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171"/>
        <w:gridCol w:w="1056"/>
        <w:gridCol w:w="1118"/>
      </w:tblGrid>
      <w:tr w:rsidR="009579D6" w:rsidRPr="009579D6" w:rsidTr="000A1D85">
        <w:trPr>
          <w:trHeight w:hRule="exact" w:val="579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2024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2025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Всього, тис.грн</w:t>
            </w:r>
          </w:p>
        </w:tc>
      </w:tr>
      <w:tr w:rsidR="009579D6" w:rsidRPr="009579D6" w:rsidTr="000A1D85">
        <w:trPr>
          <w:trHeight w:hRule="exact" w:val="326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1</w:t>
            </w: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225</w:t>
            </w: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3060</w:t>
            </w:r>
            <w:r w:rsidRPr="00957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</w:tr>
      <w:tr w:rsidR="009579D6" w:rsidRPr="009579D6" w:rsidTr="000A1D85">
        <w:trPr>
          <w:trHeight w:hRule="exact" w:val="643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</w:tr>
      <w:tr w:rsidR="009579D6" w:rsidRPr="009579D6" w:rsidTr="000A1D85">
        <w:trPr>
          <w:trHeight w:hRule="exact" w:val="326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</w:tr>
      <w:tr w:rsidR="009579D6" w:rsidRPr="009579D6" w:rsidTr="000A1D85">
        <w:trPr>
          <w:trHeight w:hRule="exact" w:val="326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</w:tr>
      <w:tr w:rsidR="009579D6" w:rsidRPr="009579D6" w:rsidTr="000A1D85">
        <w:trPr>
          <w:trHeight w:hRule="exact" w:val="331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8</w:t>
            </w: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15</w:t>
            </w: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</w:t>
            </w: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1</w:t>
            </w: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225</w:t>
            </w: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3060</w:t>
            </w:r>
            <w:r w:rsidRPr="0095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,00</w:t>
            </w:r>
          </w:p>
        </w:tc>
      </w:tr>
      <w:tr w:rsidR="009579D6" w:rsidRPr="009579D6" w:rsidTr="000A1D85">
        <w:trPr>
          <w:trHeight w:hRule="exact" w:val="331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9D6" w:rsidRPr="009579D6" w:rsidRDefault="009579D6" w:rsidP="009579D6">
            <w:pPr>
              <w:framePr w:w="4608" w:h="2726" w:wrap="none" w:vAnchor="page" w:hAnchor="page" w:x="6526" w:y="1245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0,00</w:t>
            </w:r>
          </w:p>
        </w:tc>
      </w:tr>
    </w:tbl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9D6" w:rsidRPr="009579D6" w:rsidRDefault="009579D6" w:rsidP="009579D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ІІ. Концепція</w:t>
      </w:r>
    </w:p>
    <w:p w:rsidR="009579D6" w:rsidRPr="009579D6" w:rsidRDefault="009579D6" w:rsidP="009579D6">
      <w:pPr>
        <w:keepNext/>
        <w:keepLines/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bookmarkStart w:id="4" w:name="bookmark3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Загальні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положення</w:t>
      </w:r>
      <w:bookmarkEnd w:id="3"/>
      <w:bookmarkEnd w:id="4"/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інформатизації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«Цифрова громада»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Покровської міської ради на 2024-2026 роки (далі - Програма) визначає основні засади реалізації політики у сфері цифрової трансформації на місцевому рівні та розроблена з урахуванням вимог:</w:t>
      </w:r>
    </w:p>
    <w:p w:rsidR="009579D6" w:rsidRPr="009579D6" w:rsidRDefault="009579D6" w:rsidP="009579D6">
      <w:pPr>
        <w:widowControl w:val="0"/>
        <w:spacing w:after="120" w:line="271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 України «Про Національну програму інформатизації», «Про Концепцію Національної програми інформатизації»;</w:t>
      </w:r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Верховної Ради України від 08 липня 2022 року № </w:t>
      </w:r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>2360-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IX</w:t>
      </w:r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затвердження завдань Національної програми інформатизації на 2022-2024 роки»;</w:t>
      </w:r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 Кабінету Міністрів України від 12 квітня 2000 року № 644 «Про затвердження Порядку формування та виконання регіональної програми і проекту інформатизації», від 05 серпня 2020 року № 695 «Про затвердження Державної стратегії регіонального розвитку на 2021-2027 роки», від 03 березня 2021 року № 179 «Про затвердження Національної економічної стратегії на період до 2030 року»;</w:t>
      </w:r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Указів Президента України від 26 серпня 2021 року № 447 «Про рішення Ради національної безпеки і оборони України від 14 травня 2021 року «Про Стратегію кібербезпеки України», від 7 вересня 2021 року № 487 «Про Національну стратегію сприяння розвитку громадянського суспільства в Україні на 2021-2026 роки», від 28 грудня 2021 року № 685 «Про рішення Ради національної безпеки і оборони України від 15 жовтня 2021 року «Про Стратегію інформаційної безпеки».</w:t>
      </w:r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розпоряджень Кабінету Міністрів України від 15 травня 2013 року № 386-р «Про схвалення Стратегії розвитку інформаційного суспільства в Україні», від 21 липня 2021 року № 831 -р «Деякі питання реформування державного управління України» та інших актів законодавства;</w:t>
      </w:r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сформована як складова Національної програми інформатизації, визначає комплекс пріоритетних завдань щодо організаційних, правових, соціально-економічних, науково-технічних, технологічних та виробничих процесів, спрямованих на створення умов для забезпечення розвитку інформаційного суспільства, узгоджена з Національною програмою інформатизації України та з урахуванням завдань Регіональної програми інформатизації "Дніпропетровщина: цифрова трансформація" на 2023 - 2025 роки.</w:t>
      </w:r>
    </w:p>
    <w:p w:rsidR="009579D6" w:rsidRPr="009579D6" w:rsidRDefault="009579D6" w:rsidP="009579D6">
      <w:pPr>
        <w:widowControl w:val="0"/>
        <w:spacing w:after="5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Реалізація завдань і заходів Програми шляхом упровадження цифрових технологій має значно стимулювати розвиток відкритого інформаційного суспільства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громаді,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як одного з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істотних факторів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розвитку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країні, підвищення продуктивності, економічного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зростання, а також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якості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життя як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мешканців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громади, так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населення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цілому, відповідно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розвитку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цифрової економіки.</w:t>
      </w:r>
    </w:p>
    <w:p w:rsidR="009579D6" w:rsidRPr="009579D6" w:rsidRDefault="009579D6" w:rsidP="009579D6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suppressAutoHyphen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4"/>
      <w:bookmarkStart w:id="6" w:name="bookmark5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Аналіз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стану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інформатизації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та основних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тенденцій цифрової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трансформації територіальної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громади</w:t>
      </w:r>
      <w:bookmarkEnd w:id="5"/>
      <w:bookmarkEnd w:id="6"/>
    </w:p>
    <w:p w:rsidR="009579D6" w:rsidRPr="009579D6" w:rsidRDefault="009579D6" w:rsidP="009579D6">
      <w:pPr>
        <w:widowControl w:val="0"/>
        <w:tabs>
          <w:tab w:val="left" w:pos="2285"/>
          <w:tab w:val="left" w:pos="3562"/>
          <w:tab w:val="left" w:pos="4166"/>
          <w:tab w:val="left" w:pos="5578"/>
          <w:tab w:val="left" w:pos="6787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Територія Покровської міської 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адміністративно-територіальним устроєм України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входить до складу Нікопольського району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Дніпропетровської області.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складу громади входить 6 населени пункти,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а загальна площа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громади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170 кв км.</w:t>
      </w:r>
    </w:p>
    <w:p w:rsidR="009579D6" w:rsidRPr="009579D6" w:rsidRDefault="009579D6" w:rsidP="009579D6">
      <w:pPr>
        <w:widowControl w:val="0"/>
        <w:tabs>
          <w:tab w:val="left" w:pos="2285"/>
          <w:tab w:val="left" w:pos="3562"/>
          <w:tab w:val="left" w:pos="4166"/>
          <w:tab w:val="left" w:pos="5578"/>
          <w:tab w:val="left" w:pos="6787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наявними даними ГУ статистики у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Дніпропетровській області,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станом на 01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2022 року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чисельність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наявного населення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Покровської міської 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громади становить 38730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осіб.</w:t>
      </w:r>
    </w:p>
    <w:p w:rsidR="009579D6" w:rsidRPr="009579D6" w:rsidRDefault="009579D6" w:rsidP="009579D6">
      <w:pPr>
        <w:widowControl w:val="0"/>
        <w:spacing w:line="276" w:lineRule="auto"/>
        <w:ind w:firstLine="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Покровська міська територіальна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громада налічує 44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соціально-культурної сфери, що утримуються за рахунок бюджету органів місцевого самоврядування, усього одиниць, з них: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 загальної середньої освіти І – ІІІ ступенів - 7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 загальної середньої освіти І – ІІ ступенів - 1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 дошкільної освіти - 7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 позашкільної освіти - 1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дитячо-юнацькі спортивні школи - 2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центри професійного розвитку педагогічних працівників – 1 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 системи соціального захисту - 2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 - 14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лікарні – 1 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 первинної медичної (медико-санітарної) допомоги - 1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– амбулаторії - 6</w:t>
      </w:r>
    </w:p>
    <w:p w:rsidR="009579D6" w:rsidRPr="009579D6" w:rsidRDefault="009579D6" w:rsidP="009579D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структурні підрозділи – фельдшерсько-акушерські пункти – 1 </w:t>
      </w:r>
    </w:p>
    <w:p w:rsidR="009579D6" w:rsidRPr="009579D6" w:rsidRDefault="009579D6" w:rsidP="009579D6">
      <w:pPr>
        <w:widowControl w:val="0"/>
        <w:shd w:val="clear" w:color="auto" w:fill="FFFFFF"/>
        <w:spacing w:after="0" w:line="276" w:lineRule="auto"/>
        <w:ind w:left="156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цих умовах значно зростають вимоги до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рівня інформатизації суспільства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інформаційно-аналітичного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забезпечення громади з метою поглиблення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інтеграції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регіональну,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державну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європейську спільноту.</w:t>
      </w:r>
    </w:p>
    <w:p w:rsidR="009579D6" w:rsidRPr="009579D6" w:rsidRDefault="009579D6" w:rsidP="009579D6">
      <w:pPr>
        <w:keepNext/>
        <w:keepLines/>
        <w:widowControl w:val="0"/>
        <w:spacing w:after="120" w:line="276" w:lineRule="auto"/>
        <w:ind w:firstLine="8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bookmark6"/>
      <w:bookmarkStart w:id="8" w:name="bookmark7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Стан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інформатизації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динаміка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цифрових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трансформацій Покровської міської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громади</w:t>
      </w:r>
      <w:bookmarkEnd w:id="7"/>
      <w:bookmarkEnd w:id="8"/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другим документом громади 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цифрового розвитку. Для досягнення визначених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цілей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було визначено цифрового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лідера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створено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відповідний підрозділ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розвитку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виконавчого органу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громади.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2021 року 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запроваджено систему електронного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документообігу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принципово новому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рівні,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базується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використанні технології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штрих-кодування, можливостей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комп'ютерного обладнання, електронного цифрового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підпису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програмного забезпечення “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MegapolisDoc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Net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”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СЕДО). СЕДО громади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підключено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системи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електронної взаємодії органів виконавчої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влади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СЕВ ОВВ).</w:t>
      </w:r>
    </w:p>
    <w:p w:rsidR="009579D6" w:rsidRPr="009579D6" w:rsidRDefault="009579D6" w:rsidP="009579D6">
      <w:pPr>
        <w:widowControl w:val="0"/>
        <w:spacing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метою переходу до безпаперового режиму </w:t>
      </w:r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Paperless</w:t>
      </w:r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роботи 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громаді є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потреба 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розширенні існуючих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автоматизованих робочих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місць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СЕДО громади шляхом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збільшенні кількості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робочих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 (ліцензій).</w:t>
      </w:r>
    </w:p>
    <w:p w:rsidR="009579D6" w:rsidRPr="009579D6" w:rsidRDefault="009579D6" w:rsidP="009579D6">
      <w:pPr>
        <w:widowControl w:val="0"/>
        <w:spacing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Покровська міська територіальна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розроблений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функціонуючий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веб-сайт </w:t>
      </w:r>
      <w:hyperlink r:id="rId7" w:history="1">
        <w:r w:rsidRPr="009579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https://pkrv.dp.gov.ua/</w:t>
        </w:r>
      </w:hyperlink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який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нараховує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61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розділі.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Зокрема: головна, новини, міська рада,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 база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публічна інформація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цивільний захист, електронні сервіси, ЦНАП, інформаційний блок, інформація для інвесторів, медицина, архів записів сесій, освіта, розділ документів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тощо.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сайті розміщена необхідна,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актуальна та повна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про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територіальну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громаду,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структурні підрозділи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виконавчого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комітету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ради, депутатський склад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комісії, відомості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про бюджет, а також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адміністративні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послуги. Окремий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“ЦНАП”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містить всі необхідні відомості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про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адміністративних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послуг,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можуть отримати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мешканці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громади, також впроваджено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можливість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електронного звернення, що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елементом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е-демократії.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Головна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сторінка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веб-сайту одразу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повідомляє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актуальні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важливі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новини громади.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2013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громади створено Центр надання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послуг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ЦНАП), де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реалізовуються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принципи одержання населенням широкого спектру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інформації,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отримання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кваліфікованої консультації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 надання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послуги в одному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сучасно обладнаному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приміщенні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професійно підготовленим і привітливим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громадян персоналом. За принципом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«єдиного офісу» і «відкритого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простору», в межах одного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можливо отримати послуги,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надаються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різними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органами влади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підрозділами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самоврядування, зручно, швидко та в одному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місці,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відповідними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комфортними умовами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очікування,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заповнення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документів,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сплати за послуги, отримання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будь-яких питань, тощо.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D6" w:rsidRPr="009579D6" w:rsidRDefault="009579D6" w:rsidP="009579D6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ЦНАП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налічує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295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видів адміністративних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послуг,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підключений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єдиного програмно-технічного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комплексу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облдержадміністрації “Регіональний віртуальний офіс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електронних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послуг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Дніпропетровської області”,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надано доступ державному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реєстратору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адміністратору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Державного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речових прав на нерухоме майно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обмежень,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Єдиної інформаційної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сфери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ЄІССС), Реєстру 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РТГ), Прихисток, е-Ветеран,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Єдиної державної електронної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системи 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сфері будівництва (далі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ЄДЕССБ) має можливість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отримання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відомостей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Державного земельного кадастру. В рамках Програми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планується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придбати додаткове обладнання, що надасть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можливість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розширення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переліку адміністративних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послуг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підключення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Єдиного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державний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юридичних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фізичних осіб-підприємців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громадських формувань,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Єдиного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державного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демографічного реєстру (далі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ЄДДР)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Єдиного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державного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транспортних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засобів.</w:t>
      </w:r>
    </w:p>
    <w:p w:rsidR="009579D6" w:rsidRPr="009579D6" w:rsidRDefault="009579D6" w:rsidP="009579D6">
      <w:pPr>
        <w:widowControl w:val="0"/>
        <w:spacing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громади розташовано 1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закладів освіти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з них 8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середньої освіти,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 7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закладів дошкільної освіти та 1 заклад позашкільної освіти. Усі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заклади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підключено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мережі високошвидкісного інтернет.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закладах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середньої освіти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працює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288 вчитель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зареєстровано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платформі всеукраїнської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школи онлайн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ВШО) - 288,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 показник користування педагогами платформою ВШО в Покровській територіальній громаді складає 100%. Також згідно з аналізом використання е-журналів та е-щоденників 8 із 8 закладів середньої освіти використовують дані цифрові сервіси, тож показник по використанню складає також 100%.</w:t>
      </w:r>
    </w:p>
    <w:p w:rsidR="009579D6" w:rsidRPr="009579D6" w:rsidRDefault="009579D6" w:rsidP="009579D6">
      <w:pPr>
        <w:widowControl w:val="0"/>
        <w:spacing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громади функціонує 2 заклади охорони здоров'я, які підключено до мережі високошвидкісного інтернету. В своїй діяльності при обслуговування населення запроваджено онлайн запис до лікаря, що в свою чергу спрощую процедуру надання медичних послуг.</w:t>
      </w:r>
    </w:p>
    <w:p w:rsidR="009579D6" w:rsidRPr="009579D6" w:rsidRDefault="009579D6" w:rsidP="009579D6">
      <w:pPr>
        <w:widowControl w:val="0"/>
        <w:spacing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громаді налічується 14 закладів культури, які забезпечені підключенням до мережі високошвидкісного інтернет. На базі існуючих бібліотек планується створення сучасної мережі хабів цифрової освіти для підтримка дітей та молоді у сфері інформаційно-комунікаційних технологій, а також проведення заходів з підвищення рівня цифрової грамотності та культури безпекового поводження в кіберпросторі мешканців громади.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Територія громади налічує в своєму складі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населених пункті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в свою чергу забезпечені необхідним обладнанням з підключення до мережі високошвидкісного інтернет та суцільним покриттям мобільного зв'язку.</w:t>
      </w:r>
    </w:p>
    <w:p w:rsidR="009579D6" w:rsidRPr="009579D6" w:rsidRDefault="009579D6" w:rsidP="009579D6">
      <w:pPr>
        <w:widowControl w:val="0"/>
        <w:spacing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громаді проводиться робота із забезпечення вільного доступу громадян до високошвидкісного інтернет в громадських місцях та соціальних закладах територіальної громади шляхом створення та модернізації точок доступу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Wi</w:t>
      </w:r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Fi</w:t>
      </w:r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Free</w:t>
      </w:r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та в рамках Програми очікується збільшити темпи реалізації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даного напрямку.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прийняттям Закону України “Про національну інфраструктуру геопросторових даних” та Порядку функціонування національної інфраструктури геопросторових даних, затвердженого постановою Уряду від 26.05.2021 № 532, в Україні сформовано правове поле створення, функціонування та розвитку національної інфраструктури геопросторових даних, відповідно до якого органи виконавчої влади та органи місцевого самоврядування зобов'язані оприлюднювати на своїх офіційних веб-сайтах та геопорталах геопросторові дані та метадані і відображати їх за допомогою сервісів доступу на національному геопорталі.</w:t>
      </w:r>
    </w:p>
    <w:p w:rsidR="009579D6" w:rsidRPr="009579D6" w:rsidRDefault="009579D6" w:rsidP="009579D6">
      <w:pPr>
        <w:widowControl w:val="0"/>
        <w:spacing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Геопортал надає можливість простого пошуку та вільного доступу користувачів до наборів геопросторових даних, оприлюднених відповідно до законодавства, тож Покровська міська громада вже є зареєстрованим користувачем даного сервісу.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національному рівні програма співпрацює з Міністерством цифрової трансформації України в рамках впровадження та популяризації електронних послуг, створення комплексної системи навчання цифровим навичкам, впровадження інструментів е-демократії.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даний час електронні послуги та електронна демократія ставить за ціль допомагати державним та місцевим органам влади надавати публічні послуги більш ефективно і прозоро завдяки розширеним можливостям та новим інструментам електронного урядування, розробленим в інклюзивний спосіб.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рамках реалізації Програми продовжуватиметься діяльність, спрямована на системний розвиток електронного урядування та електронної демократії, зокрема запровадження та популяризація найбільш ефективних інструментів, онлайн-платформ “Дія. Цифрова освіта”.</w:t>
      </w:r>
    </w:p>
    <w:p w:rsidR="009579D6" w:rsidRPr="009579D6" w:rsidRDefault="009579D6" w:rsidP="009579D6">
      <w:pPr>
        <w:widowControl w:val="0"/>
        <w:spacing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Додаткової уваги потребує питання з посилення співпраці з організаціями, які надають міжнародну технічну допомогу щодо залучення інвестицій у сфери інформатизації та цифрового розвитку громади.</w:t>
      </w:r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Виходячи з проведеного аналізу стану інформатизації, відповідних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кількісних та якісних показників можна визначити, що Покровська міська громада активно інтегрується до інформаційного та цифрового простору, підвищує рівень використання інформаційних технологій та рухається в напрямку цифрової трансформації, що впливає на безпосередні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чинники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зростання, забезпечення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соціально-економічної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політичної стабільності.</w:t>
      </w:r>
    </w:p>
    <w:p w:rsidR="009579D6" w:rsidRPr="009579D6" w:rsidRDefault="009579D6" w:rsidP="009579D6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Проблеми, на розв’язання яких спрямована Програма: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недостатній рівень впровадження цифрових технологій у системі публічного управління та адміністрування на місцевому рівні;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 динаміка цифрових трансформацій окремих секторів розвитку територіальної громади;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кількість застарілої комп'ютерної техніки в органі місцевого самоврядування, заснованих ним підприємствах, установах та організаціях;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низький рівень залучення громадян громади до участі у процесах формування цифрового суспільства, упровадження технологій е-демократії, у тому числі із залученням ресурсів міжнародних організацій;</w:t>
      </w:r>
    </w:p>
    <w:p w:rsidR="009579D6" w:rsidRPr="009579D6" w:rsidRDefault="009579D6" w:rsidP="009579D6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низький рівень цифрової грамотності різних категорій жителів територіальної громади;</w:t>
      </w:r>
    </w:p>
    <w:p w:rsidR="009579D6" w:rsidRPr="009579D6" w:rsidRDefault="009579D6" w:rsidP="009579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zh-CN"/>
        </w:rPr>
        <w:t>в умовах воєнного часу треба приділити увагу новітнім інструментам у сфері інформаційних технологій;</w:t>
      </w:r>
    </w:p>
    <w:p w:rsidR="009579D6" w:rsidRPr="009579D6" w:rsidRDefault="009579D6" w:rsidP="009579D6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безперебійний доступ до мережі інтернет в умовах стабілізаційних відключень електропостачання;</w:t>
      </w:r>
    </w:p>
    <w:p w:rsidR="009579D6" w:rsidRPr="009579D6" w:rsidRDefault="009579D6" w:rsidP="009579D6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велике навантаження на організаційну техніку Покровської ТГ;</w:t>
      </w:r>
    </w:p>
    <w:p w:rsidR="009579D6" w:rsidRPr="009579D6" w:rsidRDefault="009579D6" w:rsidP="009579D6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перехід на більш сучасне ліцензійне програмне забезпечення.</w:t>
      </w:r>
    </w:p>
    <w:p w:rsidR="009579D6" w:rsidRPr="009579D6" w:rsidRDefault="009579D6" w:rsidP="009579D6">
      <w:pPr>
        <w:widowControl w:val="0"/>
        <w:spacing w:after="36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D6" w:rsidRPr="009579D6" w:rsidRDefault="009579D6" w:rsidP="009579D6">
      <w:pPr>
        <w:keepNext/>
        <w:keepLines/>
        <w:widowControl w:val="0"/>
        <w:numPr>
          <w:ilvl w:val="0"/>
          <w:numId w:val="2"/>
        </w:numPr>
        <w:tabs>
          <w:tab w:val="left" w:pos="372"/>
        </w:tabs>
        <w:suppressAutoHyphens/>
        <w:spacing w:after="24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bookmark8"/>
      <w:bookmarkStart w:id="10" w:name="bookmark9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Мета, пріоритетні напрями та завдання інформатизації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територіальної громади</w:t>
      </w:r>
      <w:bookmarkEnd w:id="9"/>
      <w:bookmarkEnd w:id="10"/>
    </w:p>
    <w:p w:rsidR="009579D6" w:rsidRPr="009579D6" w:rsidRDefault="009579D6" w:rsidP="009579D6">
      <w:pPr>
        <w:widowControl w:val="0"/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Програма спрямована на формування та реалізацію політики у сферах інформатизації, цифровізації, цифрового розвитку, цифрової економіки, цифрових інновацій, електронного урядування та електронної демократії, розвитку цифрового суспільства на місцевому рівні.</w:t>
      </w:r>
    </w:p>
    <w:p w:rsidR="009579D6" w:rsidRPr="009579D6" w:rsidRDefault="009579D6" w:rsidP="009579D6">
      <w:pPr>
        <w:widowControl w:val="0"/>
        <w:spacing w:after="22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Програми - забезпечення доступу мешканців громади до процесів формування цифрового суспільства через упровадження інноваційних підходів, інструментів та технологій е-урядування, е-демократії, цифровізації громади, інших сучасних електронно комунікаційних послуг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шляхом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модернізації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публічного управління,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соціально-економічним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розвитком громади, розвитком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інфраструктури відкритих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даних,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електронної комунікації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забезпечення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рівності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громадян незалежно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місця їх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проживання 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дотриманні їх конституційних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мінімізація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впливу людського фактору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корупційних ризиків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публічних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послуг, побудови, розвитку,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інтеграції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використання сучасних цифрових мереж та систем,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інформаційних ресурсів, інформаційних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цифрових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технологій.</w:t>
      </w:r>
    </w:p>
    <w:p w:rsidR="009579D6" w:rsidRPr="009579D6" w:rsidRDefault="009579D6" w:rsidP="009579D6">
      <w:pPr>
        <w:widowControl w:val="0"/>
        <w:spacing w:after="1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До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пріоритетних напрямів інформатизації 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громади належать:</w:t>
      </w:r>
    </w:p>
    <w:p w:rsidR="009579D6" w:rsidRPr="009579D6" w:rsidRDefault="009579D6" w:rsidP="009579D6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цифрова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трансформація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самоврядування;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цифровізація публічних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послуг;</w:t>
      </w:r>
    </w:p>
    <w:p w:rsidR="009579D6" w:rsidRPr="009579D6" w:rsidRDefault="009579D6" w:rsidP="009579D6">
      <w:pPr>
        <w:widowControl w:val="0"/>
        <w:numPr>
          <w:ilvl w:val="0"/>
          <w:numId w:val="4"/>
        </w:numPr>
        <w:suppressAutoHyphens/>
        <w:spacing w:after="1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розбудова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інфраструктури інформатизації 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громади;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рівня цифрової грамотності різних категорій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громадян; стимулювання розвитку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цифрової економіки 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громади.</w:t>
      </w:r>
    </w:p>
    <w:p w:rsidR="009579D6" w:rsidRPr="009579D6" w:rsidRDefault="009579D6" w:rsidP="009579D6">
      <w:pPr>
        <w:widowControl w:val="0"/>
        <w:spacing w:after="1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D6" w:rsidRPr="009579D6" w:rsidRDefault="009579D6" w:rsidP="009579D6">
      <w:pPr>
        <w:keepNext/>
        <w:keepLines/>
        <w:widowControl w:val="0"/>
        <w:spacing w:after="140" w:line="276" w:lineRule="auto"/>
        <w:ind w:firstLine="8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bookmark10"/>
      <w:bookmarkStart w:id="12" w:name="bookmark11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Пріоритетний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напрям «Цифрова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трансформація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органу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місцевого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самоврядування»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включає такі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завдання:</w:t>
      </w:r>
      <w:bookmarkEnd w:id="11"/>
      <w:bookmarkEnd w:id="12"/>
    </w:p>
    <w:p w:rsidR="009579D6" w:rsidRPr="009579D6" w:rsidRDefault="009579D6" w:rsidP="009579D6">
      <w:pPr>
        <w:widowControl w:val="0"/>
        <w:numPr>
          <w:ilvl w:val="0"/>
          <w:numId w:val="5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розвиток системи електронного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документообігу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(СЕДО) 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 місцевого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самоврядування, заснованих ним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підприємствах,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установах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організаціях;</w:t>
      </w:r>
    </w:p>
    <w:p w:rsidR="009579D6" w:rsidRPr="009579D6" w:rsidRDefault="009579D6" w:rsidP="009579D6">
      <w:pPr>
        <w:widowControl w:val="0"/>
        <w:numPr>
          <w:ilvl w:val="0"/>
          <w:numId w:val="5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створення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(модернізація)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цифрових систем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(закупівля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комп'ютерного, серверного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обладнання) та придбання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 інформатизації;</w:t>
      </w:r>
    </w:p>
    <w:p w:rsidR="009579D6" w:rsidRPr="009579D6" w:rsidRDefault="009579D6" w:rsidP="009579D6">
      <w:pPr>
        <w:widowControl w:val="0"/>
        <w:numPr>
          <w:ilvl w:val="0"/>
          <w:numId w:val="5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забезпечення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функціонування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адміністрування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цифрових систем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тощо).</w:t>
      </w:r>
    </w:p>
    <w:p w:rsidR="009579D6" w:rsidRPr="009579D6" w:rsidRDefault="009579D6" w:rsidP="009579D6">
      <w:pPr>
        <w:widowControl w:val="0"/>
        <w:numPr>
          <w:ilvl w:val="0"/>
          <w:numId w:val="5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створення електронних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архівів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оцифрування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реєстрів;</w:t>
      </w:r>
    </w:p>
    <w:p w:rsidR="009579D6" w:rsidRPr="009579D6" w:rsidRDefault="009579D6" w:rsidP="009579D6">
      <w:pPr>
        <w:widowControl w:val="0"/>
        <w:numPr>
          <w:ilvl w:val="0"/>
          <w:numId w:val="5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просування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інструментів електронної демократії: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електронних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петицій,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опитувань, звернень громадян, обговорення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нормативно-правових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актів,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громадського бюджету тощо;</w:t>
      </w:r>
    </w:p>
    <w:p w:rsidR="009579D6" w:rsidRPr="009579D6" w:rsidRDefault="009579D6" w:rsidP="009579D6">
      <w:pPr>
        <w:widowControl w:val="0"/>
        <w:numPr>
          <w:ilvl w:val="0"/>
          <w:numId w:val="5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забезпечення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інвалідністю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порушенням зору, слуху та мовлення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офіційних вебсайтів, реєстрів, інших ресурсів 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цифрових послуг.</w:t>
      </w:r>
    </w:p>
    <w:p w:rsidR="009579D6" w:rsidRPr="009579D6" w:rsidRDefault="009579D6" w:rsidP="009579D6">
      <w:pPr>
        <w:keepNext/>
        <w:keepLines/>
        <w:widowControl w:val="0"/>
        <w:spacing w:after="220" w:line="276" w:lineRule="auto"/>
        <w:ind w:firstLine="8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bookmark12"/>
      <w:bookmarkStart w:id="14" w:name="bookmark13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Пріоритетний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напрям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«Цифровізація публічних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послуг»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включає такі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завдання:</w:t>
      </w:r>
      <w:bookmarkEnd w:id="13"/>
      <w:bookmarkEnd w:id="14"/>
    </w:p>
    <w:p w:rsidR="009579D6" w:rsidRPr="009579D6" w:rsidRDefault="009579D6" w:rsidP="009579D6">
      <w:pPr>
        <w:widowControl w:val="0"/>
        <w:numPr>
          <w:ilvl w:val="0"/>
          <w:numId w:val="6"/>
        </w:numPr>
        <w:suppressAutoHyphens/>
        <w:spacing w:after="2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забезпечення надання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публічних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послуг 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електронній формі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(встановлення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 для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QR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-валідації, зчитування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ID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-карток, використання мобільних цифрових валіз тощо);</w:t>
      </w:r>
    </w:p>
    <w:p w:rsidR="009579D6" w:rsidRPr="009579D6" w:rsidRDefault="009579D6" w:rsidP="009579D6">
      <w:pPr>
        <w:widowControl w:val="0"/>
        <w:numPr>
          <w:ilvl w:val="0"/>
          <w:numId w:val="6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геоінформаційної системи моніторингу території громади.</w:t>
      </w:r>
    </w:p>
    <w:p w:rsidR="009579D6" w:rsidRPr="009579D6" w:rsidRDefault="009579D6" w:rsidP="009579D6">
      <w:pPr>
        <w:keepNext/>
        <w:keepLines/>
        <w:widowControl w:val="0"/>
        <w:spacing w:after="140" w:line="276" w:lineRule="auto"/>
        <w:ind w:firstLine="8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bookmark14"/>
      <w:bookmarkStart w:id="16" w:name="bookmark15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Пріоритетний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напрям «Розбудова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інфраструктури інформатизації територіальної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громади»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включає такі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завдання:</w:t>
      </w:r>
      <w:bookmarkEnd w:id="15"/>
      <w:bookmarkEnd w:id="16"/>
    </w:p>
    <w:p w:rsidR="009579D6" w:rsidRPr="009579D6" w:rsidRDefault="009579D6" w:rsidP="009579D6">
      <w:pPr>
        <w:widowControl w:val="0"/>
        <w:numPr>
          <w:ilvl w:val="0"/>
          <w:numId w:val="7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модернізація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центру надання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послуг та розширення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мережі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точок доступу до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публічних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послуг;</w:t>
      </w:r>
    </w:p>
    <w:p w:rsidR="009579D6" w:rsidRPr="009579D6" w:rsidRDefault="009579D6" w:rsidP="009579D6">
      <w:pPr>
        <w:widowControl w:val="0"/>
        <w:numPr>
          <w:ilvl w:val="0"/>
          <w:numId w:val="7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забезпечення безперешкодного доступу до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високошвидкісного інтернету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якості мобільного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зв'язку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мобільного інтернету всіх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населених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пунктів 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громади;</w:t>
      </w:r>
    </w:p>
    <w:p w:rsidR="009579D6" w:rsidRPr="009579D6" w:rsidRDefault="009579D6" w:rsidP="009579D6">
      <w:pPr>
        <w:widowControl w:val="0"/>
        <w:numPr>
          <w:ilvl w:val="0"/>
          <w:numId w:val="7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облаштування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Wi</w:t>
      </w:r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9579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Fi</w:t>
      </w:r>
      <w:r w:rsidRPr="009579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зон у громадських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місцях,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також 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приміщеннях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самоврядування, заснованих ним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організацій;</w:t>
      </w:r>
    </w:p>
    <w:p w:rsidR="009579D6" w:rsidRPr="009579D6" w:rsidRDefault="009579D6" w:rsidP="009579D6">
      <w:pPr>
        <w:keepNext/>
        <w:keepLines/>
        <w:widowControl w:val="0"/>
        <w:spacing w:after="140" w:line="276" w:lineRule="auto"/>
        <w:ind w:firstLine="8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bookmark16"/>
      <w:bookmarkStart w:id="18" w:name="bookmark17"/>
    </w:p>
    <w:p w:rsidR="009579D6" w:rsidRPr="009579D6" w:rsidRDefault="009579D6" w:rsidP="009579D6">
      <w:pPr>
        <w:keepNext/>
        <w:keepLines/>
        <w:widowControl w:val="0"/>
        <w:spacing w:after="140" w:line="276" w:lineRule="auto"/>
        <w:ind w:firstLine="8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Пріоритетний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напрям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«Підвищення рівня цифрової грамотності різних категорій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громадян»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включає такі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завдання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bookmarkEnd w:id="17"/>
      <w:bookmarkEnd w:id="18"/>
    </w:p>
    <w:p w:rsidR="009579D6" w:rsidRPr="009579D6" w:rsidRDefault="009579D6" w:rsidP="009579D6">
      <w:pPr>
        <w:widowControl w:val="0"/>
        <w:numPr>
          <w:ilvl w:val="0"/>
          <w:numId w:val="8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кваліфікації працівників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місцевого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самоврядування 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депутатів місцевої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ради з питань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інформатизації,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цифрового розвитку, електронного урядування,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 демократії;</w:t>
      </w:r>
    </w:p>
    <w:p w:rsidR="009579D6" w:rsidRPr="009579D6" w:rsidRDefault="009579D6" w:rsidP="009579D6">
      <w:pPr>
        <w:widowControl w:val="0"/>
        <w:numPr>
          <w:ilvl w:val="1"/>
          <w:numId w:val="8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сприяння розвитку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цифрової компетентності працівників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сфер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освіти, 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культури, тощо;</w:t>
      </w:r>
    </w:p>
    <w:p w:rsidR="009579D6" w:rsidRPr="009579D6" w:rsidRDefault="009579D6" w:rsidP="009579D6">
      <w:pPr>
        <w:widowControl w:val="0"/>
        <w:numPr>
          <w:ilvl w:val="1"/>
          <w:numId w:val="8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популяризація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використання онлайн-платформи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«Дія.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Цифрова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освіта»;</w:t>
      </w:r>
    </w:p>
    <w:p w:rsidR="009579D6" w:rsidRPr="009579D6" w:rsidRDefault="009579D6" w:rsidP="009579D6">
      <w:pPr>
        <w:widowControl w:val="0"/>
        <w:numPr>
          <w:ilvl w:val="0"/>
          <w:numId w:val="8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розвиток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мережі хабів цифрової освіти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базі бібліотек, клубів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культури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громади;</w:t>
      </w:r>
    </w:p>
    <w:p w:rsidR="009579D6" w:rsidRPr="009579D6" w:rsidRDefault="009579D6" w:rsidP="009579D6">
      <w:pPr>
        <w:widowControl w:val="0"/>
        <w:numPr>
          <w:ilvl w:val="0"/>
          <w:numId w:val="8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рівня цифрової грамотності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громадян та культури безпекового поводження 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кіберпросторі;</w:t>
      </w:r>
    </w:p>
    <w:p w:rsidR="009579D6" w:rsidRPr="009579D6" w:rsidRDefault="009579D6" w:rsidP="009579D6">
      <w:pPr>
        <w:widowControl w:val="0"/>
        <w:numPr>
          <w:ilvl w:val="0"/>
          <w:numId w:val="8"/>
        </w:num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підтримка дітей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цифрових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технологій.</w:t>
      </w:r>
    </w:p>
    <w:p w:rsidR="009579D6" w:rsidRPr="009579D6" w:rsidRDefault="009579D6" w:rsidP="009579D6">
      <w:pPr>
        <w:keepNext/>
        <w:keepLines/>
        <w:widowControl w:val="0"/>
        <w:spacing w:after="140" w:line="276" w:lineRule="auto"/>
        <w:ind w:firstLine="8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bookmark18"/>
      <w:bookmarkStart w:id="20" w:name="bookmark19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Пріоритетний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напрям «Стимулювання розвитку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цифрової економіки територіальної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громади»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включає такі 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завдання:</w:t>
      </w:r>
      <w:bookmarkEnd w:id="19"/>
      <w:bookmarkEnd w:id="20"/>
    </w:p>
    <w:p w:rsidR="009579D6" w:rsidRPr="009579D6" w:rsidRDefault="009579D6" w:rsidP="009579D6">
      <w:pPr>
        <w:widowControl w:val="0"/>
        <w:numPr>
          <w:ilvl w:val="0"/>
          <w:numId w:val="9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підтримка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розвитку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ІТ-сектору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стартапів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територіальній громаді;</w:t>
      </w:r>
    </w:p>
    <w:p w:rsidR="009579D6" w:rsidRPr="009579D6" w:rsidRDefault="009579D6" w:rsidP="009579D6">
      <w:pPr>
        <w:widowControl w:val="0"/>
        <w:numPr>
          <w:ilvl w:val="0"/>
          <w:numId w:val="9"/>
        </w:num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просування пропозицій суб’єктів господарювання територіальної громади на маркетплейсі цифрових продуктів та рішень для громад платформи «Дія. Цифрова громада»;</w:t>
      </w:r>
    </w:p>
    <w:p w:rsidR="009579D6" w:rsidRPr="009579D6" w:rsidRDefault="009579D6" w:rsidP="009579D6">
      <w:pPr>
        <w:widowControl w:val="0"/>
        <w:numPr>
          <w:ilvl w:val="0"/>
          <w:numId w:val="9"/>
        </w:numPr>
        <w:suppressAutoHyphens/>
        <w:spacing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та розвиток об’єктів інфраструктури підтримки малого та середнього підприємництва (бізнес-інкубаторів, коворкінг-центрів, центрів підтримки бізнесу, стартап-центрів тощо), центру підтримки підприємництва на базі центру надання адміністративних послуг.</w:t>
      </w:r>
    </w:p>
    <w:p w:rsidR="009579D6" w:rsidRPr="009579D6" w:rsidRDefault="009579D6" w:rsidP="009579D6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відповідності до пріоритетів інформатизації територіальної громади формуються переліки завдань, проектів, робіт за формами, неведеними в додатках 1, 2.</w:t>
      </w:r>
    </w:p>
    <w:p w:rsidR="009579D6" w:rsidRPr="009579D6" w:rsidRDefault="009579D6" w:rsidP="009579D6">
      <w:pPr>
        <w:keepNext/>
        <w:keepLines/>
        <w:widowControl w:val="0"/>
        <w:numPr>
          <w:ilvl w:val="0"/>
          <w:numId w:val="2"/>
        </w:numPr>
        <w:tabs>
          <w:tab w:val="left" w:pos="372"/>
        </w:tabs>
        <w:suppressAutoHyphens/>
        <w:spacing w:after="2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bookmark20"/>
      <w:bookmarkStart w:id="22" w:name="bookmark21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Очікувані результати у сфері інформатизації</w:t>
      </w:r>
      <w:bookmarkEnd w:id="21"/>
      <w:bookmarkEnd w:id="22"/>
    </w:p>
    <w:p w:rsidR="009579D6" w:rsidRPr="009579D6" w:rsidRDefault="009579D6" w:rsidP="009579D6">
      <w:pPr>
        <w:widowControl w:val="0"/>
        <w:spacing w:after="120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Успішна реалізація заходів Програми буде мати позитивний вплив як на загальний соціально-економічний розвиток громади, так і на його конкретні аспекти, зокрема:</w:t>
      </w:r>
    </w:p>
    <w:p w:rsidR="009579D6" w:rsidRPr="009579D6" w:rsidRDefault="009579D6" w:rsidP="009579D6">
      <w:pPr>
        <w:widowControl w:val="0"/>
        <w:numPr>
          <w:ilvl w:val="0"/>
          <w:numId w:val="10"/>
        </w:numPr>
        <w:suppressAutoHyphens/>
        <w:spacing w:after="1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розвитку публічних послуг і сервісів на основі цифровізації та сприяння збільшенню динаміки цифрових трансформацій в громаді;</w:t>
      </w:r>
    </w:p>
    <w:p w:rsidR="009579D6" w:rsidRPr="009579D6" w:rsidRDefault="009579D6" w:rsidP="009579D6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збільшення кількості автоматизованих робочих місць, що підключені до системи електронного документообігу в органі місцевого самоврядування, заснованих ним підприємствах, установах та організаціях;</w:t>
      </w:r>
    </w:p>
    <w:p w:rsidR="009579D6" w:rsidRPr="009579D6" w:rsidRDefault="009579D6" w:rsidP="009579D6">
      <w:pPr>
        <w:widowControl w:val="0"/>
        <w:numPr>
          <w:ilvl w:val="0"/>
          <w:numId w:val="10"/>
        </w:numPr>
        <w:suppressAutoHyphens/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та модернізація програмно-апаратних засобів інформаційно- комунікаційних систем;</w:t>
      </w:r>
    </w:p>
    <w:p w:rsidR="009579D6" w:rsidRPr="009579D6" w:rsidRDefault="009579D6" w:rsidP="009579D6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цифрової грамотності посадових осіб селищної ради та різних категорій громадян;</w:t>
      </w:r>
    </w:p>
    <w:p w:rsidR="009579D6" w:rsidRPr="009579D6" w:rsidRDefault="009579D6" w:rsidP="009579D6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інструментів е-демократії у територіальній громаді та залучення громадян громади до участі у процесах формування цифрового суспільства, підвищення рівня компетентності посадових осіб селищної ради та громадян щодо використання технологій е-урядування та е-демократії ;</w:t>
      </w:r>
    </w:p>
    <w:p w:rsidR="009579D6" w:rsidRPr="009579D6" w:rsidRDefault="009579D6" w:rsidP="009579D6">
      <w:pPr>
        <w:widowControl w:val="0"/>
        <w:numPr>
          <w:ilvl w:val="0"/>
          <w:numId w:val="10"/>
        </w:numPr>
        <w:suppressAutoHyphens/>
        <w:spacing w:after="4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проектів інформатизації у сферах освіти, культури тощо.</w:t>
      </w:r>
    </w:p>
    <w:p w:rsidR="009579D6" w:rsidRPr="009579D6" w:rsidRDefault="009579D6" w:rsidP="009579D6">
      <w:pPr>
        <w:keepNext/>
        <w:keepLines/>
        <w:widowControl w:val="0"/>
        <w:numPr>
          <w:ilvl w:val="0"/>
          <w:numId w:val="2"/>
        </w:numPr>
        <w:tabs>
          <w:tab w:val="left" w:pos="372"/>
        </w:tabs>
        <w:suppressAutoHyphens/>
        <w:spacing w:after="22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bookmark22"/>
      <w:bookmarkStart w:id="24" w:name="bookmark23"/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моніторингу та оцінки результативності виконання</w:t>
      </w:r>
      <w:r w:rsidRPr="00957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Програми</w:t>
      </w:r>
      <w:bookmarkEnd w:id="23"/>
      <w:bookmarkEnd w:id="24"/>
    </w:p>
    <w:p w:rsidR="009579D6" w:rsidRPr="009579D6" w:rsidRDefault="009579D6" w:rsidP="009579D6">
      <w:pPr>
        <w:widowControl w:val="0"/>
        <w:spacing w:after="120" w:line="262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 і оцінка результативності виконання Програми здійснюється за напрямами:</w:t>
      </w:r>
    </w:p>
    <w:p w:rsidR="009579D6" w:rsidRPr="009579D6" w:rsidRDefault="009579D6" w:rsidP="009579D6">
      <w:pPr>
        <w:widowControl w:val="0"/>
        <w:numPr>
          <w:ilvl w:val="0"/>
          <w:numId w:val="11"/>
        </w:numPr>
        <w:suppressAutoHyphens/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результативність реалізації завдань, проектів, робіт Програми;</w:t>
      </w:r>
    </w:p>
    <w:p w:rsidR="009579D6" w:rsidRPr="009579D6" w:rsidRDefault="009579D6" w:rsidP="009579D6">
      <w:pPr>
        <w:widowControl w:val="0"/>
        <w:numPr>
          <w:ilvl w:val="0"/>
          <w:numId w:val="11"/>
        </w:numPr>
        <w:suppressAutoHyphens/>
        <w:spacing w:after="1940" w:line="295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стан впровадження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проектів цифровізації 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громади;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заплановані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фактичні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обсяги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джерела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фінансування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Програми; досягнення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цільових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значень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індикаторів цифрової трансформації територіальної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громади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переліком,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визначеним у порядку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моніторингу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проведення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оцінки результативності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виконання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Національної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програми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інформатизації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9579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складових, за формою, наведеною у додатку 3.</w:t>
      </w:r>
    </w:p>
    <w:p w:rsidR="009579D6" w:rsidRPr="009579D6" w:rsidRDefault="009579D6" w:rsidP="005D1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</w:pPr>
      <w:r w:rsidRPr="009579D6"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  <w:t>В.о начальника</w:t>
      </w:r>
    </w:p>
    <w:p w:rsidR="009579D6" w:rsidRPr="009579D6" w:rsidRDefault="009579D6" w:rsidP="005D1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</w:pPr>
      <w:r w:rsidRPr="009579D6"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  <w:t>відділу цифрового розвитку,</w:t>
      </w:r>
    </w:p>
    <w:p w:rsidR="009579D6" w:rsidRPr="009579D6" w:rsidRDefault="009579D6" w:rsidP="005D1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</w:pPr>
      <w:r w:rsidRPr="009579D6"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  <w:t>програмно-технічного забезпечення</w:t>
      </w:r>
    </w:p>
    <w:p w:rsidR="009579D6" w:rsidRDefault="009579D6" w:rsidP="005D1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579D6"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  <w:t xml:space="preserve">і захисту інформації                                          </w:t>
      </w:r>
      <w:r w:rsidR="005D1F97"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  <w:t xml:space="preserve">                          </w:t>
      </w:r>
      <w:r w:rsidRPr="009579D6"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  <w:t xml:space="preserve"> Віталій МАКАРОВ</w:t>
      </w:r>
    </w:p>
    <w:p w:rsidR="009579D6" w:rsidRPr="009579D6" w:rsidRDefault="009579D6" w:rsidP="009579D6">
      <w:pPr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579D6" w:rsidRPr="009579D6" w:rsidRDefault="009579D6" w:rsidP="009579D6">
      <w:pPr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579D6" w:rsidRDefault="009579D6" w:rsidP="009579D6">
      <w:pPr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BA0C20" w:rsidRPr="009579D6" w:rsidRDefault="009579D6" w:rsidP="009579D6">
      <w:pPr>
        <w:tabs>
          <w:tab w:val="left" w:pos="4005"/>
        </w:tabs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</w:p>
    <w:sectPr w:rsidR="00BA0C20" w:rsidRPr="009579D6" w:rsidSect="002B5A74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70" w:rsidRDefault="00450E70">
      <w:pPr>
        <w:spacing w:after="0" w:line="240" w:lineRule="auto"/>
      </w:pPr>
      <w:r>
        <w:separator/>
      </w:r>
    </w:p>
  </w:endnote>
  <w:endnote w:type="continuationSeparator" w:id="0">
    <w:p w:rsidR="00450E70" w:rsidRDefault="0045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04" w:rsidRDefault="00450E70">
    <w:pPr>
      <w:pStyle w:val="a3"/>
    </w:pPr>
  </w:p>
  <w:p w:rsidR="004C3404" w:rsidRDefault="00450E70">
    <w:pPr>
      <w:pStyle w:val="a3"/>
      <w:pageBreakBefore/>
    </w:pPr>
  </w:p>
  <w:p w:rsidR="004C3404" w:rsidRDefault="00450E70">
    <w:pPr>
      <w:pStyle w:val="a3"/>
      <w:pageBreakBefore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70" w:rsidRDefault="00450E70">
      <w:pPr>
        <w:spacing w:after="0" w:line="240" w:lineRule="auto"/>
      </w:pPr>
      <w:r>
        <w:separator/>
      </w:r>
    </w:p>
  </w:footnote>
  <w:footnote w:type="continuationSeparator" w:id="0">
    <w:p w:rsidR="00450E70" w:rsidRDefault="0045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04" w:rsidRDefault="009579D6">
    <w:pPr>
      <w:tabs>
        <w:tab w:val="left" w:pos="0"/>
      </w:tabs>
      <w:jc w:val="right"/>
    </w:pPr>
    <w:r>
      <w:rPr>
        <w:b/>
        <w:bCs/>
        <w:lang w:val="uk-UA"/>
      </w:rPr>
      <w:tab/>
      <w:t xml:space="preserve"> </w:t>
    </w:r>
  </w:p>
  <w:p w:rsidR="004C3404" w:rsidRDefault="00450E7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2D5"/>
    <w:multiLevelType w:val="hybridMultilevel"/>
    <w:tmpl w:val="715C7A52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08293373"/>
    <w:multiLevelType w:val="hybridMultilevel"/>
    <w:tmpl w:val="1038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8E1"/>
    <w:multiLevelType w:val="hybridMultilevel"/>
    <w:tmpl w:val="F6A2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23DCB"/>
    <w:multiLevelType w:val="hybridMultilevel"/>
    <w:tmpl w:val="953C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0C0B"/>
    <w:multiLevelType w:val="hybridMultilevel"/>
    <w:tmpl w:val="5F86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A703B"/>
    <w:multiLevelType w:val="hybridMultilevel"/>
    <w:tmpl w:val="CDD4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DA3"/>
    <w:multiLevelType w:val="hybridMultilevel"/>
    <w:tmpl w:val="4C38805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3CF12E4D"/>
    <w:multiLevelType w:val="multilevel"/>
    <w:tmpl w:val="0B3EB5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C16E1D"/>
    <w:multiLevelType w:val="hybridMultilevel"/>
    <w:tmpl w:val="612A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24E1F"/>
    <w:multiLevelType w:val="hybridMultilevel"/>
    <w:tmpl w:val="941463F0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0" w15:restartNumberingAfterBreak="0">
    <w:nsid w:val="76224AD4"/>
    <w:multiLevelType w:val="multilevel"/>
    <w:tmpl w:val="F7646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E94"/>
    <w:rsid w:val="00195F22"/>
    <w:rsid w:val="00216EA2"/>
    <w:rsid w:val="0022668E"/>
    <w:rsid w:val="00243F8A"/>
    <w:rsid w:val="002B5A74"/>
    <w:rsid w:val="003552C2"/>
    <w:rsid w:val="003B09B2"/>
    <w:rsid w:val="00450E70"/>
    <w:rsid w:val="00527405"/>
    <w:rsid w:val="0059226E"/>
    <w:rsid w:val="005D1F97"/>
    <w:rsid w:val="006F4537"/>
    <w:rsid w:val="006F561D"/>
    <w:rsid w:val="009579D6"/>
    <w:rsid w:val="00B0599F"/>
    <w:rsid w:val="00BA0C20"/>
    <w:rsid w:val="00D25590"/>
    <w:rsid w:val="00EF2E94"/>
    <w:rsid w:val="00F46572"/>
    <w:rsid w:val="00F73277"/>
    <w:rsid w:val="00F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83FC"/>
  <w15:docId w15:val="{309ACBDE-0B92-4D89-B52A-2527163E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79D6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9579D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ody Text"/>
    <w:basedOn w:val="a"/>
    <w:link w:val="a6"/>
    <w:rsid w:val="00FC2399"/>
    <w:pPr>
      <w:suppressAutoHyphens/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FC2399"/>
  </w:style>
  <w:style w:type="paragraph" w:styleId="2">
    <w:name w:val="Body Text 2"/>
    <w:basedOn w:val="a"/>
    <w:link w:val="20"/>
    <w:qFormat/>
    <w:rsid w:val="00FC2399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Основной текст 2 Знак"/>
    <w:basedOn w:val="a0"/>
    <w:link w:val="2"/>
    <w:rsid w:val="00FC239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krv.dp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3319</Words>
  <Characters>18922</Characters>
  <Application>Microsoft Office Word</Application>
  <DocSecurity>0</DocSecurity>
  <Lines>157</Lines>
  <Paragraphs>44</Paragraphs>
  <ScaleCrop>false</ScaleCrop>
  <Company/>
  <LinksUpToDate>false</LinksUpToDate>
  <CharactersWithSpaces>22197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 PC</dc:creator>
  <cp:keywords/>
  <dc:description/>
  <cp:lastModifiedBy>Makarov PC</cp:lastModifiedBy>
  <cp:revision>12</cp:revision>
  <dcterms:created xsi:type="dcterms:W3CDTF">2023-10-19T08:32:00Z</dcterms:created>
  <dcterms:modified xsi:type="dcterms:W3CDTF">2023-10-19T12:58:00Z</dcterms:modified>
</cp:coreProperties>
</file>