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5410200</wp:posOffset>
                </wp:positionH>
                <wp:positionV relativeFrom="paragraph">
                  <wp:posOffset>-398145</wp:posOffset>
                </wp:positionV>
                <wp:extent cx="606425" cy="2000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880" cy="1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6pt;margin-top:-31.35pt;width:47.65pt;height:15.6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 xml:space="preserve">РІШЕННЯ 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18.12.2020р.                </w:t>
      </w:r>
      <w:r>
        <w:rPr>
          <w:sz w:val="28"/>
          <w:szCs w:val="28"/>
          <w:lang w:val="ru-RU"/>
        </w:rPr>
        <w:t xml:space="preserve">                    м.Покров                                                  №</w:t>
      </w:r>
      <w:r>
        <w:rPr>
          <w:sz w:val="28"/>
          <w:szCs w:val="28"/>
          <w:lang w:val="uk-UA"/>
        </w:rPr>
        <w:t>549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проєктно-кошторисної документації на капітальний ремонт тротуарів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м. Покров Дніпропетровської області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З метою забезпечення ремонту й утримання в належному експлуатаційному стані тротуарів міста Покров, керуючись </w:t>
      </w:r>
      <w:r>
        <w:rPr>
          <w:rFonts w:eastAsia="Droid Sans" w:cs="Lohit Hindi"/>
          <w:color w:val="000000"/>
          <w:sz w:val="28"/>
          <w:lang w:eastAsia="hi-IN" w:bidi="hi-IN"/>
        </w:rPr>
        <w:t>«</w:t>
      </w:r>
      <w:r>
        <w:rPr>
          <w:sz w:val="28"/>
          <w:szCs w:val="28"/>
        </w:rPr>
        <w:t>Правилами благоустрою на території міста Покров»,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проєктно-кошторисну документацію на капітальний ремонт тротуарів</w:t>
      </w:r>
      <w:r>
        <w:rPr/>
        <w:t xml:space="preserve"> </w:t>
      </w:r>
      <w:r>
        <w:rPr>
          <w:sz w:val="28"/>
          <w:szCs w:val="28"/>
        </w:rPr>
        <w:t>в м. Покров Дніпропетровської області,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>
        <w:rPr>
          <w:bCs/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ЗАТВЕРДЖЕНО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18.12.2020р. 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549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проєктно-кошторисної документації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капітальний ремонт тротуарів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в м. Покров Дніпропетровської області</w:t>
      </w:r>
    </w:p>
    <w:p>
      <w:pPr>
        <w:pStyle w:val="Normal"/>
        <w:spacing w:lineRule="auto" w:line="12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5"/>
        <w:gridCol w:w="9005"/>
      </w:tblGrid>
      <w:tr>
        <w:trPr>
          <w:trHeight w:val="968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«Капітальний ремонт тротуару по вул. Героїв Чорнобиля (ділянка від             вул. Центральна до вул. Торгова) в м. Покров Дніпропетровської області». Загальна кошторисна вартість будівництва складає 1778,747 тис. грн., у тому числі: будівельні роботи – 1406,531 тис. грн.; устаткування, меблі, інвентар – 9,961 тис. грн.; інші витрати – 362,255 тис. грн. </w:t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«Капітальний ремонт тротуару по вул. Гагаріна (ділянка від вул. Горького до вул. Партизанська) в м. Покров Дніпропетровської області». Загальна кошторисна вартість будівництва складає 2689,670 тис. грн., у тому числі: будівельні роботи – 2086,914 тис. грн.; устаткування, меблі, інвентар – 59,764 тис. грн.; інші витрати – 542,992 тис. грн.</w:t>
            </w:r>
          </w:p>
        </w:tc>
      </w:tr>
      <w:tr>
        <w:trPr>
          <w:trHeight w:val="397" w:hRule="atLeast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«Капітальний ремонт тротуару по вул. Героїв України (ділянка від             вул. Центральна до вул. Партизанська) в м. Покров Дніпропетровської області». Загальна кошторисна вартість будівництва складає 3781,236 тис. грн., у тому числі: будівельні роботи – 2870,039 тис. грн.; устаткування, меблі, інвентар – 159,233 тис. грн.; інші витрати – 751,964 тис. грн.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В.В. Ребенок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>
          <w:b/>
          <w:bCs/>
          <w:spacing w:val="34"/>
          <w:sz w:val="28"/>
          <w:szCs w:val="28"/>
        </w:rPr>
        <w:t xml:space="preserve">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295</TotalTime>
  <Application>LibreOffice/6.1.4.2$Windows_x86 LibreOffice_project/9d0f32d1f0b509096fd65e0d4bec26ddd1938fd3</Application>
  <Pages>2</Pages>
  <Words>269</Words>
  <Characters>1836</Characters>
  <CharactersWithSpaces>2558</CharactersWithSpaces>
  <Paragraphs>28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2020-12-18T06:09:00Z</cp:lastPrinted>
  <dcterms:modified xsi:type="dcterms:W3CDTF">2020-12-28T16:00:35Z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