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0"/>
          <w:szCs w:val="20"/>
          <w:lang w:val="uk-UA"/>
        </w:rPr>
      </w:pPr>
      <w:r>
        <w:rPr>
          <w:sz w:val="20"/>
          <w:szCs w:val="20"/>
          <w:lang w:val="uk-UA"/>
        </w:rPr>
      </w:r>
    </w:p>
    <w:p>
      <w:pPr>
        <w:pStyle w:val="Normal"/>
        <w:jc w:val="center"/>
        <w:rPr>
          <w:sz w:val="28"/>
          <w:szCs w:val="28"/>
        </w:rPr>
      </w:pPr>
      <w:r>
        <w:rPr>
          <w:sz w:val="28"/>
          <w:szCs w:val="28"/>
          <w:lang w:val="uk-UA"/>
        </w:rPr>
        <w:t>ІНФОРМАЦІЙНА КАРТКА АДМІНІСТРАТИВНОЇ ПОСЛУГИ  № 02-10.2</w:t>
      </w:r>
    </w:p>
    <w:p>
      <w:pPr>
        <w:pStyle w:val="Normal"/>
        <w:jc w:val="center"/>
        <w:rPr>
          <w:lang w:val="uk-UA"/>
        </w:rPr>
      </w:pPr>
      <w:r>
        <w:rPr>
          <w:lang w:val="uk-UA"/>
        </w:rPr>
      </w:r>
    </w:p>
    <w:p>
      <w:pPr>
        <w:pStyle w:val="Style29"/>
        <w:bidi w:val="0"/>
        <w:spacing w:lineRule="auto" w:line="240" w:before="0" w:after="0"/>
        <w:ind w:left="0" w:right="0" w:hanging="0"/>
        <w:jc w:val="center"/>
        <w:rPr>
          <w:sz w:val="28"/>
          <w:szCs w:val="28"/>
        </w:rPr>
      </w:pPr>
      <w:r>
        <w:rPr>
          <w:rFonts w:cs="Times New Roman"/>
          <w:b/>
          <w:bCs/>
          <w:color w:val="000000"/>
          <w:sz w:val="28"/>
          <w:szCs w:val="28"/>
          <w:u w:val="single"/>
          <w:lang w:val="uk-UA"/>
        </w:rPr>
        <w:t>Затвердження проекту землеустрою щодо відведення земельної ділянки у разі зміни її цільового призначення</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b/>
          <w:b/>
          <w:bCs/>
          <w:sz w:val="24"/>
          <w:szCs w:val="24"/>
          <w:lang w:val="uk-UA"/>
        </w:rPr>
      </w:pPr>
      <w:r>
        <w:rPr>
          <w:b/>
          <w:bCs/>
          <w:sz w:val="24"/>
          <w:szCs w:val="24"/>
          <w:lang w:val="uk-UA"/>
        </w:rPr>
      </w:r>
    </w:p>
    <w:p>
      <w:pPr>
        <w:pStyle w:val="Normal"/>
        <w:jc w:val="center"/>
        <w:rPr>
          <w:sz w:val="28"/>
          <w:szCs w:val="28"/>
        </w:rPr>
      </w:pPr>
      <w:r>
        <w:rPr>
          <w:b/>
          <w:bCs w:val="false"/>
          <w:color w:val="000000"/>
          <w:sz w:val="28"/>
          <w:szCs w:val="28"/>
          <w:u w:val="single"/>
          <w:shd w:fill="auto" w:val="clear"/>
          <w:lang w:val="uk-UA" w:eastAsia="en-US"/>
        </w:rPr>
        <w:t>00217</w:t>
      </w:r>
    </w:p>
    <w:p>
      <w:pPr>
        <w:pStyle w:val="Normal"/>
        <w:rPr>
          <w:sz w:val="20"/>
          <w:szCs w:val="20"/>
          <w:highlight w:val="yellow"/>
          <w:lang w:val="uk-UA"/>
        </w:rPr>
      </w:pPr>
      <w:r>
        <w:rPr>
          <w:sz w:val="20"/>
          <w:szCs w:val="20"/>
          <w:highlight w:val="yellow"/>
          <w:lang w:val="uk-UA"/>
        </w:rPr>
      </w:r>
      <w:bookmarkStart w:id="0" w:name="_Hlk157529416"/>
      <w:bookmarkStart w:id="1" w:name="_GoBack"/>
      <w:bookmarkStart w:id="2" w:name="_Hlk157529416"/>
      <w:bookmarkStart w:id="3" w:name="_GoBack"/>
      <w:bookmarkEnd w:id="2"/>
      <w:bookmarkEnd w:id="3"/>
    </w:p>
    <w:tbl>
      <w:tblPr>
        <w:tblpPr w:bottomFromText="0" w:horzAnchor="text" w:leftFromText="180" w:rightFromText="180" w:tblpX="0" w:tblpY="1" w:topFromText="0" w:vertAnchor="text"/>
        <w:tblW w:w="9638"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8"/>
        <w:gridCol w:w="1"/>
        <w:gridCol w:w="2498"/>
        <w:gridCol w:w="1174"/>
        <w:gridCol w:w="1282"/>
        <w:gridCol w:w="2"/>
        <w:gridCol w:w="2130"/>
        <w:gridCol w:w="1933"/>
        <w:gridCol w:w="1"/>
      </w:tblGrid>
      <w:tr>
        <w:trPr/>
        <w:tc>
          <w:tcPr>
            <w:tcW w:w="9638"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55"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6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4" w:name="_GoBack1"/>
            <w:bookmarkEnd w:id="4"/>
            <w:r>
              <w:rPr>
                <w:rStyle w:val="2"/>
                <w:b w:val="false"/>
                <w:bCs w:val="false"/>
                <w:i w:val="false"/>
                <w:iCs w:val="false"/>
                <w:lang w:val="uk-UA"/>
              </w:rPr>
              <w:t>каб. 410</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55"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6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з12.00 до 13.00</w:t>
            </w:r>
          </w:p>
          <w:p>
            <w:pPr>
              <w:pStyle w:val="Normal"/>
              <w:widowControl w:val="false"/>
              <w:rPr>
                <w:lang w:val="uk-UA"/>
              </w:rPr>
            </w:pPr>
            <w:r>
              <w:rPr>
                <w:lang w:eastAsia="uk-UA"/>
              </w:rPr>
              <w:t>Вихідні дні - субота, неділя</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55"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6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Тел.(05667) 4-43-56</w:t>
            </w:r>
          </w:p>
          <w:p>
            <w:pPr>
              <w:pStyle w:val="Normal"/>
              <w:widowControl w:val="false"/>
              <w:rPr>
                <w:lang w:val="uk-UA"/>
              </w:rPr>
            </w:pPr>
            <w:r>
              <w:rPr>
                <w:rStyle w:val="2"/>
                <w:b w:val="false"/>
                <w:bCs w:val="false"/>
                <w:i w:val="false"/>
                <w:caps w:val="false"/>
                <w:smallCaps w:val="false"/>
                <w:color w:val="2C363A"/>
                <w:spacing w:val="0"/>
                <w:sz w:val="24"/>
                <w:szCs w:val="24"/>
                <w:lang w:val="uk-UA" w:eastAsia="uk-UA"/>
              </w:rPr>
              <w:t>zemlya@pokrov-mr.gov.ua</w:t>
            </w:r>
          </w:p>
        </w:tc>
      </w:tr>
      <w:tr>
        <w:trPr>
          <w:trHeight w:val="494" w:hRule="atLeast"/>
        </w:trPr>
        <w:tc>
          <w:tcPr>
            <w:tcW w:w="9638"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49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shd w:fill="auto" w:val="clear"/>
              </w:rPr>
            </w:pPr>
            <w:r>
              <w:rPr>
                <w:bCs/>
                <w:spacing w:val="-2"/>
                <w:shd w:fill="auto" w:val="clear"/>
              </w:rPr>
              <w:t xml:space="preserve">Найменування ЦНАП </w:t>
            </w:r>
            <w:commentRangeStart w:id="0"/>
            <w:r>
              <w:rPr>
                <w:bCs/>
                <w:spacing w:val="-2"/>
                <w:shd w:fill="auto" w:val="clear"/>
              </w:rPr>
              <w:t>(його ТП та/або ВРМ)</w:t>
            </w:r>
            <w:commentRangeEnd w:id="0"/>
            <w:r>
              <w:commentReference w:id="0"/>
            </w:r>
            <w:r>
              <w:rPr>
                <w:bCs/>
                <w:spacing w:val="-2"/>
                <w:shd w:fill="auto" w:val="clear"/>
              </w:rPr>
            </w:r>
          </w:p>
        </w:tc>
        <w:tc>
          <w:tcPr>
            <w:tcW w:w="245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30"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3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1" w:type="dxa"/>
            <w:tcBorders/>
            <w:shd w:fill="auto" w:val="clear"/>
          </w:tcPr>
          <w:p>
            <w:pPr>
              <w:pStyle w:val="Normal"/>
              <w:widowControl w:val="false"/>
              <w:rPr>
                <w:highlight w:val="none"/>
                <w:shd w:fill="FFFF00" w:val="clear"/>
              </w:rPr>
            </w:pPr>
            <w:r>
              <w:rPr>
                <w:shd w:fill="FFFF00" w:val="clear"/>
              </w:rPr>
            </w:r>
          </w:p>
        </w:tc>
      </w:tr>
      <w:tr>
        <w:trPr/>
        <w:tc>
          <w:tcPr>
            <w:tcW w:w="61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49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45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0"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0"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0" w:hanging="0"/>
              <w:jc w:val="both"/>
              <w:rPr/>
            </w:pPr>
            <w:hyperlink r:id="rId2">
              <w:bookmarkStart w:id="5" w:name="_GoBack2"/>
              <w:bookmarkEnd w:id="5"/>
              <w:r>
                <w:rPr>
                  <w:rFonts w:eastAsia="Calibri" w:cs="Times New Roman"/>
                  <w:i w:val="false"/>
                  <w:iCs w:val="false"/>
                  <w:color w:val="000000"/>
                  <w:sz w:val="24"/>
                  <w:szCs w:val="24"/>
                  <w:u w:val="single"/>
                  <w:shd w:fill="auto" w:val="clear"/>
                  <w:lang w:val="uk-UA"/>
                </w:rPr>
                <w:t>cnap@pokrov-mr.gov.ua</w:t>
              </w:r>
            </w:hyperlink>
          </w:p>
        </w:tc>
        <w:tc>
          <w:tcPr>
            <w:tcW w:w="193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0"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0"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tc>
        <w:tc>
          <w:tcPr>
            <w:tcW w:w="1" w:type="dxa"/>
            <w:tcBorders/>
            <w:shd w:fill="auto" w:val="clear"/>
          </w:tcPr>
          <w:p>
            <w:pPr>
              <w:pStyle w:val="Normal"/>
              <w:widowControl w:val="false"/>
              <w:rPr>
                <w:highlight w:val="none"/>
                <w:shd w:fill="FFFF00" w:val="clear"/>
              </w:rPr>
            </w:pPr>
            <w:r>
              <w:rPr>
                <w:shd w:fill="FFFF00" w:val="clear"/>
              </w:rPr>
            </w:r>
          </w:p>
        </w:tc>
      </w:tr>
      <w:tr>
        <w:trPr>
          <w:trHeight w:val="165" w:hRule="atLeast"/>
        </w:trPr>
        <w:tc>
          <w:tcPr>
            <w:tcW w:w="9638"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38"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7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4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Закон України “Про адміністративну процедуру”, “Про адміністративні послуги”, Земельний кодекс України, Закон України «Про місцеве самоврядування в Україні», Закон України «Про землеустрій», </w:t>
            </w:r>
            <w:r>
              <w:rPr>
                <w:color w:val="000000"/>
                <w:sz w:val="24"/>
                <w:szCs w:val="24"/>
                <w:lang w:val="uk-UA"/>
              </w:rPr>
              <w:t>Закон України «Про державну реєстрацію речових прав на нерухоме майно».</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7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4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38"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7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4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7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4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firstLine="283"/>
              <w:jc w:val="both"/>
              <w:rPr/>
            </w:pPr>
            <w:r>
              <w:rPr>
                <w:lang w:val="uk-UA"/>
              </w:rPr>
              <w:t>1.</w:t>
            </w:r>
            <w:r>
              <w:rPr>
                <w:rFonts w:cs="Times New Roman"/>
                <w:lang w:val="uk-UA"/>
              </w:rPr>
              <w:t>Копія установчих документів для юридичної особи, для фізичної особи, копія документа, що посвідчує особу (паспорт 1,2,11 стор. та ідентифікаційний код);</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pPr>
            <w:r>
              <w:rPr>
                <w:rFonts w:cs="Times New Roman"/>
                <w:lang w:val="uk-UA"/>
              </w:rPr>
              <w:t>2.Проект із землеустрою щодо відведення земельної ділянки,</w:t>
            </w:r>
            <w:r>
              <w:rPr>
                <w:rFonts w:eastAsia="NSimSun" w:cs="Times New Roman"/>
                <w:color w:val="auto"/>
                <w:kern w:val="2"/>
                <w:sz w:val="24"/>
                <w:szCs w:val="24"/>
                <w:lang w:val="uk-UA" w:eastAsia="zh-CN" w:bidi="hi-IN"/>
              </w:rPr>
              <w:t xml:space="preserve"> цільове призначення якої змінюється;</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3.Копія витягу з Державного земельного кадастру про зареєстровану земельну ділянку;</w:t>
            </w:r>
          </w:p>
          <w:p>
            <w:pPr>
              <w:pStyle w:val="Normal"/>
              <w:widowControl w:val="false"/>
              <w:suppressAutoHyphens w:val="true"/>
              <w:bidi w:val="0"/>
              <w:spacing w:lineRule="auto" w:line="240" w:before="0" w:after="0"/>
              <w:ind w:left="0" w:right="0" w:firstLine="283"/>
              <w:jc w:val="both"/>
              <w:rPr>
                <w:lang w:val="uk-UA"/>
              </w:rPr>
            </w:pPr>
            <w:r>
              <w:rPr>
                <w:rFonts w:cs="Times New Roman"/>
                <w:color w:val="000000"/>
                <w:sz w:val="24"/>
                <w:shd w:fill="FFFFFF" w:val="clear"/>
                <w:lang w:val="uk-UA"/>
              </w:rPr>
              <w:t>4.Копія довіреності (у разі подання заяви уповноваженою особою), копії документів, що посвідчують уповноважену особу.</w:t>
            </w:r>
          </w:p>
        </w:tc>
      </w:tr>
      <w:tr>
        <w:trPr>
          <w:trHeight w:val="697" w:hRule="atLeast"/>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7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4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7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4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7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4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Протягом 30 календарних днів з дня надходження заяви та документів, необхідних для надання адміністративної послуги.</w:t>
            </w:r>
            <w:commentRangeEnd w:id="1"/>
            <w:r>
              <w:commentReference w:id="1"/>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7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4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2"/>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2"/>
            <w:r>
              <w:commentReference w:id="2"/>
            </w:r>
            <w:r>
              <w:rPr>
                <w:lang w:val="uk-UA"/>
              </w:rPr>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7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4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1.В разі позитивного розгляду звернення – рішення </w:t>
            </w:r>
            <w:r>
              <w:rPr>
                <w:b w:val="false"/>
                <w:bCs w:val="false"/>
                <w:u w:val="none"/>
                <w:lang w:val="uk-UA"/>
              </w:rPr>
              <w:t>щодо затвердження проекту землеустрою щодо відведення земельної ділянки із зміною цільового призначення.</w:t>
            </w:r>
          </w:p>
          <w:p>
            <w:pPr>
              <w:pStyle w:val="Normal"/>
              <w:widowControl w:val="false"/>
              <w:ind w:firstLine="284"/>
              <w:jc w:val="both"/>
              <w:rPr>
                <w:lang w:val="uk-UA"/>
              </w:rPr>
            </w:pPr>
            <w:r>
              <w:rPr>
                <w:lang w:val="uk-UA"/>
              </w:rPr>
              <w:t>2.Письмове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7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4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7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3"/>
            <w:r>
              <w:rPr>
                <w:lang w:val="uk-UA"/>
              </w:rPr>
              <w:t xml:space="preserve">Спосіб та строки оскарження </w:t>
            </w:r>
            <w:commentRangeEnd w:id="3"/>
            <w:r>
              <w:commentReference w:id="3"/>
            </w:r>
            <w:r>
              <w:rPr>
                <w:lang w:val="uk-UA"/>
              </w:rPr>
            </w:r>
          </w:p>
        </w:tc>
        <w:tc>
          <w:tcPr>
            <w:tcW w:w="534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color w:val="000000"/>
                <w:lang w:val="uk-UA"/>
              </w:rPr>
            </w:pPr>
            <w:r>
              <w:rPr>
                <w:color w:val="000000"/>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pacing w:beforeAutospacing="0" w:before="0" w:afterAutospacing="0" w:after="0"/>
              <w:ind w:firstLine="284"/>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pacing w:beforeAutospacing="0" w:before="0" w:afterAutospacing="0" w:after="0"/>
              <w:ind w:firstLine="196"/>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ind w:firstLine="284"/>
              <w:jc w:val="both"/>
              <w:rPr>
                <w:lang w:val="uk-UA"/>
              </w:rPr>
            </w:pPr>
            <w:commentRangeStart w:id="4"/>
            <w:r>
              <w:rPr>
                <w:color w:val="000000"/>
                <w:lang w:val="uk-UA"/>
              </w:rPr>
              <w:t xml:space="preserve">Оскарження рішення про залишення заяви без руху можливе шляхом </w:t>
            </w:r>
            <w:bookmarkStart w:id="16" w:name="_Hlk157156100"/>
            <w:r>
              <w:rPr>
                <w:color w:val="000000"/>
                <w:lang w:val="uk-UA"/>
              </w:rPr>
              <w:t>под</w:t>
            </w:r>
            <w:r>
              <w:rPr>
                <w:lang w:val="uk-UA"/>
              </w:rPr>
              <w:t xml:space="preserve">ання заяви </w:t>
            </w:r>
            <w:bookmarkEnd w:id="16"/>
            <w:r>
              <w:rPr>
                <w:lang w:val="uk-UA"/>
              </w:rPr>
              <w:t>до органу вищого рівня або позовної заяви до адміністративного суду</w:t>
            </w:r>
            <w:commentRangeEnd w:id="4"/>
            <w:r>
              <w:commentReference w:id="4"/>
            </w:r>
            <w:r>
              <w:rPr>
                <w:lang w:val="uk-UA"/>
              </w:rPr>
            </w:r>
          </w:p>
        </w:tc>
      </w:tr>
    </w:tbl>
    <w:p>
      <w:pPr>
        <w:pStyle w:val="Normal"/>
        <w:ind w:hanging="0"/>
        <w:jc w:val="both"/>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6T09:35:00Z" w:initials="БТО">
    <w:p>
      <w:r>
        <w:rPr>
          <w:rFonts w:ascii="Liberation Serif" w:hAnsi="Liberation Serif" w:eastAsia="Segoe UI" w:cs="Tahoma"/>
          <w:lang w:val="uk-UA" w:eastAsia="en-US" w:bidi="en-US"/>
        </w:rPr>
        <w:t>Зазначається у разі якщо послуга надається також і через територіальний підрозділ та/або віддалене робоче місце</w:t>
      </w:r>
    </w:p>
  </w:comment>
  <w:comment w:id="1"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2"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3"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4"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4455" cy="174625"/>
              <wp:effectExtent l="0" t="0" r="0" b="0"/>
              <wp:wrapSquare wrapText="largest"/>
              <wp:docPr id="1" name="Рамка1"/>
              <a:graphic xmlns:a="http://schemas.openxmlformats.org/drawingml/2006/main">
                <a:graphicData uri="http://schemas.microsoft.com/office/word/2010/wordprocessingShape">
                  <wps:wsp>
                    <wps:cNvSpPr/>
                    <wps:spPr>
                      <a:xfrm>
                        <a:off x="0" y="0"/>
                        <a:ext cx="8388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65pt;margin-top:0.05pt;width:6.55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paragraph" w:styleId="Style29">
    <w:name w:val="Содержимое таблицы"/>
    <w:basedOn w:val="Normal"/>
    <w:qFormat/>
    <w:pPr>
      <w:suppressLineNumber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246</TotalTime>
  <Application>LibreOffice/7.2.5.2$Windows_X86_64 LibreOffice_project/499f9727c189e6ef3471021d6132d4c694f357e5</Application>
  <AppVersion>15.0000</AppVersion>
  <Pages>5</Pages>
  <Words>1083</Words>
  <Characters>7470</Characters>
  <CharactersWithSpaces>8684</CharactersWithSpaces>
  <Paragraphs>116</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2024-03-13T13:01:27Z</cp:lastPrinted>
  <dcterms:modified xsi:type="dcterms:W3CDTF">2024-05-06T14:19:47Z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