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5375275</wp:posOffset>
                </wp:positionH>
                <wp:positionV relativeFrom="paragraph">
                  <wp:posOffset>-318770</wp:posOffset>
                </wp:positionV>
                <wp:extent cx="65595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25pt;margin-top:-25.1pt;width:51.5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5939790" cy="1460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68.9pt,3.1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Cs w:val="24"/>
        </w:rPr>
        <w:t xml:space="preserve">22.07.2020р.                             </w:t>
      </w:r>
      <w:r>
        <w:rPr>
          <w:szCs w:val="24"/>
          <w:lang w:val="ru-RU"/>
        </w:rPr>
        <w:t xml:space="preserve">                     </w:t>
      </w:r>
      <w:r>
        <w:rPr>
          <w:szCs w:val="24"/>
        </w:rPr>
        <w:t xml:space="preserve">м. Покров                 </w:t>
      </w:r>
      <w:r>
        <w:rPr>
          <w:szCs w:val="24"/>
          <w:lang w:val="ru-RU"/>
        </w:rPr>
        <w:t xml:space="preserve">    </w:t>
      </w:r>
      <w:r>
        <w:rPr>
          <w:szCs w:val="24"/>
        </w:rPr>
        <w:t xml:space="preserve">                                </w:t>
      </w:r>
      <w:r>
        <w:rPr>
          <w:szCs w:val="24"/>
          <w:lang w:val="ru-RU"/>
        </w:rPr>
        <w:t xml:space="preserve">   </w:t>
      </w:r>
      <w:r>
        <w:rPr>
          <w:szCs w:val="24"/>
        </w:rPr>
        <w:t xml:space="preserve"> №288</w:t>
      </w:r>
    </w:p>
    <w:p>
      <w:pPr>
        <w:pStyle w:val="21"/>
        <w:ind w:hanging="0"/>
        <w:jc w:val="both"/>
        <w:rPr>
          <w:szCs w:val="24"/>
        </w:rPr>
      </w:pPr>
      <w:r>
        <w:rPr>
          <w:szCs w:val="24"/>
        </w:rPr>
        <w:tab/>
        <w:t xml:space="preserve">                             </w:t>
      </w:r>
    </w:p>
    <w:p>
      <w:pPr>
        <w:pStyle w:val="Normal"/>
        <w:rPr>
          <w:lang w:val="uk-UA"/>
        </w:rPr>
      </w:pPr>
      <w:r>
        <w:rPr>
          <w:lang w:val="uk-UA"/>
        </w:rPr>
        <w:t>Про взяття на облік потребуючих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lang w:val="uk-UA"/>
        </w:rPr>
        <w:t xml:space="preserve">Гр. Веретеннікова Юлія Володимирівна, </w:t>
      </w:r>
      <w:r>
        <w:rPr>
          <w:lang w:val="uk-UA"/>
        </w:rPr>
        <w:t>ХХХХ</w:t>
      </w:r>
      <w:r>
        <w:rPr>
          <w:lang w:val="uk-UA"/>
        </w:rPr>
        <w:t xml:space="preserve"> р.н., яка зареєстрована за адресою: вул. </w:t>
      </w:r>
      <w:r>
        <w:rPr>
          <w:lang w:val="uk-UA"/>
        </w:rPr>
        <w:t>ХХХХ</w:t>
      </w:r>
      <w:r>
        <w:rPr>
          <w:lang w:val="uk-UA"/>
        </w:rPr>
        <w:t xml:space="preserve">, </w:t>
      </w:r>
      <w:r>
        <w:rPr>
          <w:lang w:val="uk-UA"/>
        </w:rPr>
        <w:t>ХХХХ</w:t>
      </w:r>
      <w:r>
        <w:rPr>
          <w:lang w:val="uk-UA"/>
        </w:rPr>
        <w:t xml:space="preserve">, а фактично проживає зі своїми 4-ма дітьми та чоловіком гр. </w:t>
      </w:r>
      <w:r>
        <w:rPr>
          <w:lang w:val="uk-UA"/>
        </w:rPr>
        <w:t>ХХХХХ</w:t>
      </w:r>
      <w:r>
        <w:rPr>
          <w:lang w:val="uk-UA"/>
        </w:rPr>
        <w:t xml:space="preserve">, </w:t>
      </w:r>
      <w:r>
        <w:rPr>
          <w:lang w:val="uk-UA"/>
        </w:rPr>
        <w:t>ХХХХ</w:t>
      </w:r>
      <w:r>
        <w:rPr>
          <w:lang w:val="uk-UA"/>
        </w:rPr>
        <w:t xml:space="preserve"> р.н., уродженцем м. Джанкой Автономної Республіки Крим, по вул. Героїв України, 13/94 згідно направлення виконкому № 80 від 28.02.2020. У зв’язку з відсутністю власного житла заявниця просить поставити її родину на квартирну чергу потребуючих поліпшення житлових умов, дохід сім’ї складається з державної соціальної допомоги на дітей, які виховуються у багатодітних сім’ях, допомоги при народженні дитини (у травні 2020 року в сім’ї народилися двійнята), неофіційних заробітків чоловіка, який потребує відновлення втраченого паспорту та оформлення реєстрації місця проживання. </w:t>
      </w:r>
    </w:p>
    <w:p>
      <w:pPr>
        <w:pStyle w:val="Normal"/>
        <w:tabs>
          <w:tab w:val="clear" w:pos="708"/>
          <w:tab w:val="left" w:pos="8804" w:leader="none"/>
        </w:tabs>
        <w:ind w:firstLine="708"/>
        <w:jc w:val="both"/>
        <w:rPr/>
      </w:pPr>
      <w:r>
        <w:rPr>
          <w:lang w:val="uk-UA"/>
        </w:rPr>
        <w:t>Гр. Лапузенко Валентина Анатоліївна,</w:t>
      </w:r>
      <w:r>
        <w:rPr>
          <w:lang w:val="uk-UA"/>
        </w:rPr>
        <w:t xml:space="preserve"> ХХХХ</w:t>
      </w:r>
      <w:r>
        <w:rPr>
          <w:lang w:val="uk-UA"/>
        </w:rPr>
        <w:t xml:space="preserve">, зареєстрована та проживає зі своєю малолітньою дитиною та чоловіком гр. </w:t>
      </w:r>
      <w:r>
        <w:rPr>
          <w:lang w:val="uk-UA"/>
        </w:rPr>
        <w:t>ХХХХХ ХХХХ</w:t>
      </w:r>
      <w:r>
        <w:rPr>
          <w:lang w:val="uk-UA"/>
        </w:rPr>
        <w:t xml:space="preserve">, </w:t>
      </w:r>
      <w:r>
        <w:rPr>
          <w:lang w:val="uk-UA"/>
        </w:rPr>
        <w:t>ХХХХ</w:t>
      </w:r>
      <w:r>
        <w:rPr>
          <w:lang w:val="uk-UA"/>
        </w:rPr>
        <w:t xml:space="preserve"> р.н., який перебуває на обліку управління праці та соціального захисту населення як отримувач державних допомог внутрішньо переміщеним особам, в квартирі свого вітчима за адресою: вул. </w:t>
      </w:r>
      <w:r>
        <w:rPr>
          <w:lang w:val="uk-UA"/>
        </w:rPr>
        <w:t>ХХХХХ</w:t>
      </w:r>
      <w:r>
        <w:rPr>
          <w:lang w:val="uk-UA"/>
        </w:rPr>
        <w:t xml:space="preserve">, </w:t>
      </w:r>
      <w:r>
        <w:rPr>
          <w:lang w:val="uk-UA"/>
        </w:rPr>
        <w:t>ХХ</w:t>
      </w:r>
      <w:r>
        <w:rPr>
          <w:lang w:val="uk-UA"/>
        </w:rPr>
        <w:t xml:space="preserve">. У зв’язку з відсутністю власного житла заявниця просить поставити її родину на квартирну чергу потребуючих поліпшення житлових умов, остання доглядає дитину до 3-х років, чоловік працює продавцем непродовольчих товарів магазину «Фокстрот».  </w:t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  <w:t>Керуючись ст. 15 Житлового кодексу Української РСР, п. 13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 і Української республіканської ради професійних спілок від 11.12.1984 № 470, ст. 30 Закону України          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  <w:t>ВИРІШИВ:</w:t>
      </w:r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  <w:t xml:space="preserve">1. Взяти Веретеннікову Юлію Володимирівну, склад сім’ї – 6 ос., на облік громадян, потребуючих поліпшення житлових умов, </w:t>
      </w:r>
      <w:r>
        <w:rPr>
          <w:color w:val="FF0000"/>
          <w:lang w:val="uk-UA"/>
        </w:rPr>
        <w:t>список загальний та першочерговий</w:t>
      </w:r>
      <w:r>
        <w:rPr>
          <w:lang w:val="uk-UA"/>
        </w:rPr>
        <w:t xml:space="preserve">, згідно поданої заяви 01.07.2020. </w:t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  <w:t>2. Взяти Лапузенко Валентину Анатоліївну, склад сім’ї – 3 ос., на облік громадян, потребуючих поліпшення житлових умов, список загальний, згідно поданої заяви                    15.07.2020.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  </w:t>
      </w:r>
      <w:r>
        <w:rPr>
          <w:lang w:val="uk-UA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lang w:val="uk-UA"/>
        </w:rPr>
        <w:t>Міський голова                                                                                                            О.М. Шаповал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 А.С. Маглиш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та протидії корупції</w:t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 Т.А. Горчакова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ачальник загального відділу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  <w:lang w:val="uk-UA"/>
        </w:rPr>
        <w:t>В.С. Агапова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Начальник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дд</w:t>
      </w:r>
      <w:r>
        <w:rPr>
          <w:sz w:val="28"/>
          <w:szCs w:val="28"/>
          <w:lang w:val="uk-UA"/>
        </w:rPr>
        <w:t xml:space="preserve">ілу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розподілу житла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  <w:lang w:val="uk-UA"/>
        </w:rPr>
        <w:t>Г.М. Крутінь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Normal"/>
        <w:tabs>
          <w:tab w:val="clear" w:pos="708"/>
          <w:tab w:val="left" w:pos="660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Application>LibreOffice/6.1.4.2$Windows_x86 LibreOffice_project/9d0f32d1f0b509096fd65e0d4bec26ddd1938fd3</Application>
  <Pages>2</Pages>
  <Words>360</Words>
  <Characters>2433</Characters>
  <CharactersWithSpaces>3139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2020-06-30T04:51:00Z</cp:lastPrinted>
  <dcterms:modified xsi:type="dcterms:W3CDTF">2020-07-29T10:50:04Z</dcterms:modified>
  <cp:revision>286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