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5412740</wp:posOffset>
                </wp:positionH>
                <wp:positionV relativeFrom="paragraph">
                  <wp:posOffset>-229870</wp:posOffset>
                </wp:positionV>
                <wp:extent cx="648970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6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rPr/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6.2pt;margin-top:-18.1pt;width:51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rPr/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25400</wp:posOffset>
                </wp:positionV>
                <wp:extent cx="5918200" cy="1714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17680" cy="165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4pt" to="467.2pt,2.6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>24.06.2020 р.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м. Покров                         </w:t>
      </w:r>
      <w:r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262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взяття на облік потребуючих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поліпшення житлових умов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заяви нижчезазначених громадян виконком міської ради встановив наступне.</w:t>
      </w:r>
    </w:p>
    <w:p>
      <w:pPr>
        <w:pStyle w:val="Normal"/>
        <w:ind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Опікун гр. Керман Ганна Іванівна,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звернулася з заявою щодо взяття її підопічного гр. </w:t>
      </w:r>
      <w:r>
        <w:rPr>
          <w:sz w:val="28"/>
          <w:szCs w:val="28"/>
          <w:lang w:val="uk-UA"/>
        </w:rPr>
        <w:t>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який має статус «дитина, позбавлена батьківського піклування», зареєстрований та мешкає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буд. №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кім. №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на облік громадян, потребуючих поліпшення житлових умов, у зв’язку з відсутністю власного житла (склад сім’ї – 1 особа).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 xml:space="preserve">Мешканка міста Покров гр. Вітцієвська Тетяна Андріївна, </w:t>
      </w:r>
      <w:r>
        <w:rPr>
          <w:sz w:val="28"/>
          <w:szCs w:val="28"/>
          <w:lang w:val="uk-UA"/>
        </w:rPr>
        <w:t>ХХХХХ</w:t>
      </w:r>
      <w:r>
        <w:rPr>
          <w:sz w:val="28"/>
          <w:szCs w:val="28"/>
          <w:lang w:val="uk-UA"/>
        </w:rPr>
        <w:t xml:space="preserve"> р.н., особа з числа дітей, позбавлених батьківського піклування, на період свого навчання тимчасово зареєстрована за адресою гуртожитку Нікопольського медичного коледжу за адресою: м. Нікополь, вул. Херсонська,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звернулася з заявою про взяття її на облік громадян, потребуючих поліпшення житлових умов (склад сім’ї – 1 особа). В закріпленому за нею рішенням виконкому міської ради № 51/1 від 23.02.2011 будинку по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відсутні належні умови для проживання.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 xml:space="preserve">Опікун гр. Вітцієвська Любов Іванівна,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звернулася з заявою щодо взяття її підопічної гр.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яка має статус «дитина, позбавлена батьківського піклування» та на період свого навчання тимчасово зареєстрована за адресою гуртожитку Нікопольського медичного коледжу за адресою: м. Нікопол, вул. Херсонська,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на облік громадян, потребуючих поліпшення житлових умов (склад сім’ї – 1 особа). В закріпленому за нею рішенням виконкому міської ради № 51/1         від 23.02.2011 будинку по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відсутні належні умови для проживання.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Опікун гр. Смотрова Людмила Іванівна,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звернулася з заявою щодо взяття її підопічної гр.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яка має статус «дитина, позбавлена батьківського піклування», зареєстрована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а проживає разом із нею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на облік громадян, потребуючих поліпшення житлових умов (склад сім’ї – 1 особа). Закріплене за підопічною рішенням виконкому міської ради № 346/1 від 24.12.2014 житло – однокімнатна квартира належить її батькові, позбавленому батьківських прав, в ній зареєстровано три особи.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 ст. 15 Житлового кодексу Української РСР, п. 15  «Правил обліку громадян, які потребують поліпшення житлових умов, і надання їм жилих приміщень в Українській РСР», затвердженими постановою Ради Міністрів Української РСР і Української республіканської ради професійних спілок від 11.12.1984 № 470, ст. 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Взяти Євменова Ігоря Сергійовича, склад сім’ї – 1 ос., на облік громадян, потребуючих поліпшення житлових умов, список позачерговий, згідно поданої заяви 01.06.2020.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Взяти Вітцієвську Тетяну Андріївну, склад сім’ї – 1 ос., на облік громадян, потребуючих поліпшення житлових умов, список позачерговий, згідно поданої заяви 05.06.2020.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Взяти Вітцієвську Ксенію Андріївну, склад сім’ї – 1 ос., на облік громадян, потребуючих поліпшення житлових умов, список позачерговий, згідно поданої заяви 15.06.2020.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Взяти Капітанчук Анастасію Олександрівну, склад сім’ї – 1 ос., на облік громадян, потребуючих поліпшення житлових умов, список позачерговий, згідно поданої заяви 15.06. 2020.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В.о. міського голови                                                                                   А.І. Пастух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/>
      <w:sz w:val="16"/>
      <w:lang w:val="ru-RU" w:eastAsia="ru-RU"/>
    </w:rPr>
  </w:style>
  <w:style w:type="character" w:styleId="Style15" w:customStyle="1">
    <w:name w:val="Основной текст Знак"/>
    <w:link w:val="a5"/>
    <w:uiPriority w:val="99"/>
    <w:qFormat/>
    <w:locked/>
    <w:rsid w:val="00900e81"/>
    <w:rPr>
      <w:rFonts w:ascii="Times New Roman" w:hAnsi="Times New Roman" w:eastAsia="Times New Roman"/>
      <w:kern w:val="2"/>
      <w:sz w:val="24"/>
      <w:lang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rsid w:val="00900e81"/>
    <w:pPr>
      <w:widowControl w:val="false"/>
      <w:suppressAutoHyphens w:val="true"/>
      <w:spacing w:before="0" w:after="120"/>
    </w:pPr>
    <w:rPr>
      <w:rFonts w:eastAsia="Calibr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eastAsia="Calibri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Application>LibreOffice/6.1.4.2$Windows_x86 LibreOffice_project/9d0f32d1f0b509096fd65e0d4bec26ddd1938fd3</Application>
  <Pages>3</Pages>
  <Words>481</Words>
  <Characters>3002</Characters>
  <CharactersWithSpaces>3714</CharactersWithSpaces>
  <Paragraphs>24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2020-06-19T10:16:00Z</cp:lastPrinted>
  <dcterms:modified xsi:type="dcterms:W3CDTF">2020-08-10T15:50:02Z</dcterms:modified>
  <cp:revision>248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