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ПРОЄКТ </w:t>
      </w: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hanging="0" w:left="0" w:right="0"/>
        <w:jc w:val="left"/>
        <w:rPr/>
      </w:pPr>
      <w:r>
        <w:rPr>
          <w:b/>
          <w:bCs/>
          <w:sz w:val="28"/>
          <w:szCs w:val="28"/>
          <w:lang w:val="uk-UA"/>
        </w:rPr>
        <w:t xml:space="preserve">____________________                     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0"/>
          <w:szCs w:val="20"/>
          <w:lang w:val="uk-UA"/>
        </w:rPr>
        <w:t xml:space="preserve">м. Покров  </w:t>
      </w:r>
      <w:r>
        <w:rPr>
          <w:b/>
          <w:bCs/>
          <w:sz w:val="28"/>
          <w:szCs w:val="28"/>
          <w:lang w:val="uk-UA"/>
        </w:rPr>
        <w:t xml:space="preserve">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 №</w:t>
      </w:r>
      <w:r>
        <w:rPr>
          <w:b/>
          <w:bCs/>
          <w:sz w:val="28"/>
          <w:szCs w:val="28"/>
          <w:lang w:val="uk-UA"/>
        </w:rPr>
        <w:t xml:space="preserve"> ___________</w:t>
      </w:r>
    </w:p>
    <w:p>
      <w:pPr>
        <w:pStyle w:val="Normal"/>
        <w:spacing w:before="0" w:after="0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 Cyr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Про встановлення ТОВ «ТИТАН ТЕПЛОЕНЕРГО» тарифу на теплову енергію (у тому числі її виробництво),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що здійснює її виробництво на установках з використанням альтернативних джерел енергії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На підставі заяви ТОВ «ТИТАН ТЕПЛОЕНЕРГО» від 14.12.2025, яка надійшла до Виконавчого комітету Покровської міської ради Дніпропетровської області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FFFF00" w:val="clear"/>
          <w:lang w:val="uk-UA" w:eastAsia="ru-RU" w:bidi="ar-SA"/>
        </w:rPr>
        <w:t xml:space="preserve">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15.01.2026 та зареєстрована за №Вх290/06-22-26, про встановлення тарифу на теплову енергію (у тому числі її виробництво), вироблену з використанням альтернативних джерел енергії, рішення виконавчого комітету Жовтоводської міської ради Кам'янського району Дніпропетровської області від 11.12.2025 №641 «Про встановлення тарифів на теплову енергію, її виробництво та постачання ТОВ «ТИТАН ТЕПЛОЕНЕРГО» на опалювальний період 2025-2026 років», листа виконавчого комітету Жовтоводської міської ради Кам'янського району Дніпропетровської області від 12.01.2026 №1/1 59-01-12, керуючись статтею 20 Закону України «Про теплопостачання», статтею 28 Закону України «Про місцеве самоврядування в Україні», виконавчий комітет Покровської міської ради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b/>
          <w:bCs/>
          <w:color w:val="auto"/>
          <w:sz w:val="26"/>
          <w:szCs w:val="26"/>
          <w:lang w:eastAsia="ru-RU"/>
        </w:rPr>
        <w:t>ВИРІШИВ: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 xml:space="preserve">1. Встановити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ТОВ «ТИТАН ТЕПЛОЕНЕРГО»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 xml:space="preserve"> тариф на теплову енергію (у тому числі її виробництво), що здійснює її виробництво на установках з використанням альтернативних джерел енергії для Комунального закладу освіти «Покровський центр підготовки і перепідготовки робітничих кадрів» Дніпропетровської обласної ради» (код ЄДРПОУ 02541792) за адресою: Дніпропетровська область, Нікопольський район, м. Покров, вул. Джонсона, 17, на рівні 90 відсотків діючого для зазначеного суб’єкта господарювання тарифу на теплову енергію, вироблену з використанням природного газу, для потреб відповідної категорії споживачів в розмірі 5329,67 грн./Гкал (без ПДВ), в тому числі виробництво теплової енергії — 5117,97 грн./Гкал (без ПДВ).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2. Встановити, що зазначений тариф вводиться в дію з дати офіційного оприлюднення даного рішення.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3. Контроль за виконанням цього рішення покласти на заступника міського голови з виконавчої роботи Олександра ЧИСТЯКОВА.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sz w:val="26"/>
          <w:szCs w:val="26"/>
          <w:highlight w:val="none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sz w:val="26"/>
          <w:szCs w:val="26"/>
          <w:highlight w:val="none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sectPr>
      <w:type w:val="nextPage"/>
      <w:pgSz w:w="11906" w:h="16838"/>
      <w:pgMar w:left="1701" w:right="567" w:gutter="0" w:header="0" w:top="1134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Основной текст Знак"/>
    <w:qFormat/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8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firstLine="720" w:left="0" w:right="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0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919</TotalTime>
  <Application>LibreOffice/24.2.0.3$Windows_X86_64 LibreOffice_project/da48488a73ddd66ea24cf16bbc4f7b9c08e9bea1</Application>
  <AppVersion>15.0000</AppVersion>
  <Pages>1</Pages>
  <Words>268</Words>
  <Characters>1879</Characters>
  <CharactersWithSpaces>2193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2021-11-04T08:28:42Z</dcterms:created>
  <dc:creator/>
  <dc:description/>
  <dc:language>uk-UA</dc:language>
  <cp:lastModifiedBy/>
  <cp:lastPrinted>2026-01-30T10:18:42Z</cp:lastPrinted>
  <dcterms:modified xsi:type="dcterms:W3CDTF">2026-02-06T13:21:41Z</dcterms:modified>
  <cp:revision>190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