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5433695</wp:posOffset>
                </wp:positionH>
                <wp:positionV relativeFrom="paragraph">
                  <wp:posOffset>-490855</wp:posOffset>
                </wp:positionV>
                <wp:extent cx="5632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85pt;margin-top:-38.65pt;width:44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2868930</wp:posOffset>
            </wp:positionH>
            <wp:positionV relativeFrom="paragraph">
              <wp:posOffset>-485775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8.12.2020р.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523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Style22"/>
        <w:spacing w:before="228" w:after="22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квартири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за адресою: Дніпропетровська обл.,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дарування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належної їй на праві власності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квартири, яка знаходиться за адресою: Дніпропетровська область,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користь доньки,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малолітньої онуки,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якої при укладанні вищезазначеного договору порушені не будуть, у рівних частках.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Батьки дитини,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не заперечують проти укладання даного договору,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що підтверджено письмовими заявами від 09.12.2020 р. за вх.№5850/1-20, №5851/0/1-20.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 Закону України «Про охорону дитинства», ст.ст.176, 177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Style22"/>
        <w:spacing w:before="57" w:after="57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1.Надати дозвіл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на укладання договору дарування квартири за адресою: Дніпропетровська область, м.Покров, вул.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ХХ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на користь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року народження та малолітньої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року народження у рівних частках.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 виконавчого комітету Покровської міської ради Дніпропетровської області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LibreOffice/6.1.4.2$Windows_x86 LibreOffice_project/9d0f32d1f0b509096fd65e0d4bec26ddd1938fd3</Application>
  <Pages>2</Pages>
  <Words>274</Words>
  <Characters>1852</Characters>
  <CharactersWithSpaces>2272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2020-12-11T13:20:53Z</cp:lastPrinted>
  <dcterms:modified xsi:type="dcterms:W3CDTF">2020-12-28T14:53:13Z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