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5557520</wp:posOffset>
                </wp:positionH>
                <wp:positionV relativeFrom="paragraph">
                  <wp:posOffset>-424180</wp:posOffset>
                </wp:positionV>
                <wp:extent cx="6299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7.6pt;margin-top:-33.4pt;width:49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2868930</wp:posOffset>
            </wp:positionH>
            <wp:positionV relativeFrom="paragraph">
              <wp:posOffset>-485775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>1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8.12.2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uk-UA" w:eastAsia="ru-RU" w:bidi="ar-SA"/>
        </w:rPr>
        <w:t>0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2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uk-UA" w:eastAsia="ru-RU" w:bidi="ar-SA"/>
        </w:rPr>
        <w:t xml:space="preserve">0р.  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              №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545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Style22"/>
        <w:spacing w:before="228" w:after="22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дозволу на укладання договору дарування 1/2 частки квартири</w:t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зареєстрована за адресою: Дніпропетровська обл., м.Покров, вул.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кв.1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Заявниц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я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просить надати дозвіл на укладання договору дарування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належної їй на праві власності 1/2 частки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квартири, яка знаходиться за адресою: Дніпропетровська область, м.Покров, вул.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на користь сина, гр.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  За даною адресою зареєстрована малолітня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права якої при укладанні вищезазначеного договору порушені не будуть.</w:t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Батьки дитини,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не заперечують проти укладання даного договору,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що підтверджено письмовими заявами від 04.12.2020 р. за вх.№5766/0/1-20, №5767/0/1-20.</w:t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 Закону України «Про охорону дитинства», ст.ст.176, 177 Сімейного Кодексу України,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Style22"/>
        <w:spacing w:before="57" w:after="57"/>
        <w:ind w:hanging="0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2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Style22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1.Надати дозвіл гр.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 на укладання договору дарування 1/2 частки квартири за адресою: Дніпропетровська область, м.Покров, ву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л. 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буд.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на користь гр.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ХХХ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року народження.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Гр.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протягом 10 днів з моменту укладання договору дарування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надати його копію до служби у справах дітей виконавчого комітету Покровської міської ради Дніпропетровської області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rStyle w:val="Style15"/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3.Координацію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Application>LibreOffice/6.1.4.2$Windows_x86 LibreOffice_project/9d0f32d1f0b509096fd65e0d4bec26ddd1938fd3</Application>
  <Pages>2</Pages>
  <Words>276</Words>
  <Characters>1837</Characters>
  <CharactersWithSpaces>2257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2020-12-11T13:26:23Z</cp:lastPrinted>
  <dcterms:modified xsi:type="dcterms:W3CDTF">2020-12-28T14:59:18Z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