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5276215</wp:posOffset>
                </wp:positionH>
                <wp:positionV relativeFrom="paragraph">
                  <wp:posOffset>-347980</wp:posOffset>
                </wp:positionV>
                <wp:extent cx="6775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5.45pt;margin-top:-27.4pt;width:53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-457200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22.07.2020 р.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 280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створення та забезпечення функціонування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дитячого будинку сімейного типу Бугайової Людмили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Сергіївни, Мойсюка Геннадія Віореловича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Розглянувши заяви гр.Бугайової Людмили Сергіївни,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народження, гр.Мойсюка Геннадія Віореловича,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щодо створення дитячого будинку сімейного типу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влаштування дітей, виконавчий комітет Покровської міської ради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Гр.Бугайова Людмила Сергіївна та гр.Мойсюк Геннадій Віорелович виявили бажання взяти на виховання та спільне проживання дітей: неповнолітніх </w:t>
      </w:r>
      <w:r>
        <w:rPr>
          <w:rFonts w:ascii="Times New Roman" w:hAnsi="Times New Roman"/>
          <w:sz w:val="28"/>
          <w:szCs w:val="28"/>
          <w:lang w:val="ru-RU"/>
        </w:rPr>
        <w:t>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 та малолітніх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ru-RU"/>
        </w:rPr>
        <w:t>ХХХХ 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народження, які мають статус дітей, позбавлених батьківського піклування.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та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ознайомлені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пройшли тренінгову підготовку, отримали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09.07.2020 року № 99-20.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№564 «Про затвердження Положення про дитячий будинок сімейного типу», Наказом Державного департаменту з усиновлення та захисту прав дитини від 18 червня 2008 року № 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1.Створити дитячий будинок сімейного типу гр.Бугайової Людмили Сергіївни,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гр.Мойсюка Геннадія Віореловича,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2.Надати гр.Бугайовій Людмилі Сергіївні статус «мати – вихователька», гр.Мойсюку Геннадію Віореловичу статус «батько-вихователь».</w:t>
      </w:r>
    </w:p>
    <w:p>
      <w:pPr>
        <w:pStyle w:val="Normal"/>
        <w:spacing w:lineRule="auto" w:line="240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3.Влаштувати до дитячого будинку сімейного типу гр.Бугайової Людмили Сергіївни,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гр.Мойсюка Геннадія Віореловича,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pacing w:lineRule="auto" w:line="240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4.Визначити місце проживання неповнолітніх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 Бортник Ангеліни Сергіївни, 27.04.2008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за місцем проживання батьків-вихователів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 за адресою: Дніпропетровська обл., м.Покров, ву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л.ХХХХ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5.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Покласти персональну відповідальність за життя, здоров'я, фізичний та психологічний розвиток неповнолітніх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батьків-вихователів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</w:p>
    <w:p>
      <w:pPr>
        <w:pStyle w:val="Style27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27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6.Службі у справах дітей (Горчаковій Д.В.):</w:t>
      </w:r>
    </w:p>
    <w:p>
      <w:pPr>
        <w:pStyle w:val="Style27"/>
        <w:spacing w:lineRule="auto" w:line="24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6.1.Забезпечити влаштування та подальше перебування неповнолітніх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в дитячому будинку сімейного типу гр.Бугайової Людмили Сергіївни, гр.Мойсюка Геннадія Віореловича.</w:t>
      </w:r>
    </w:p>
    <w:p>
      <w:pPr>
        <w:pStyle w:val="Normal"/>
        <w:spacing w:lineRule="auto" w:line="240"/>
        <w:ind w:firstLine="708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проект договору про влаштування дітей на виховання та спільне проживання в дитячий будинок сімейного типу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27.07.2020 р.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6.3.Здійснювати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вихованців шляхом їх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дітей в дитячий будинок сімейного типу гр.Бугайової Людмили Сергіївни, гр.Мойсюка Геннадія Віореловича.</w:t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6.4.До 22 липня щорічно готувати звіт про стан виховання, утримання і розвитку дітей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гр.Бугайової Людмили Сергіївни, гр.Мойсюка Геннадія Віореловича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27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7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</w:t>
      </w:r>
    </w:p>
    <w:p>
      <w:pPr>
        <w:pStyle w:val="Style27"/>
        <w:spacing w:lineRule="auto" w:line="240"/>
        <w:jc w:val="both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7.1.Здійснювати с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оціальне супроводження  дитячого  будинку  сімейного 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гр.Бугайової Людмили Сергіївни, гр.Мойсюка Геннадія Віореловича,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спрямоване на сприяння створенню батьками-вихователями належних умов   функціонування дитячого будинку сімейного типу, в тому числі надання соціальних послуг (у разі потреби).</w:t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7.2.Закріпити за д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итячим будинком сімейного типу гр.Бугайової Людмили Сергіївни, гр.Мойсюка Геннадія Віореловича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соціального працівника. </w:t>
      </w:r>
    </w:p>
    <w:p>
      <w:pPr>
        <w:pStyle w:val="Style27"/>
        <w:spacing w:lineRule="auto" w:line="24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8.Управлінню праці та соціального захисту населення (Ігнатюк Т.М.): </w:t>
        <w:tab/>
      </w:r>
    </w:p>
    <w:p>
      <w:pPr>
        <w:pStyle w:val="Style27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8.1.Забезпечити призначення та здійснення виплати державної допомоги на дітей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грошового забезпечення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батьків-вихователів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гр.Бугайової Людмили Сергіївни, гр.Мойсюка Геннадія Віореловича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7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омісяця надавати до служби у справах дітей звіт про виплату державної допомоги на дітей та грошового забезпечення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батьків-вихователів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гр.Бугайової Людмили Сергіївни, гр.Мойсюка Геннадія Віореловича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9.Покровському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(Цупрова Г.А.), начальнику Покровського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22 липня щорічно надавати до служби у справах дітей  інформацію про стан виховання, утримання і розвитку дітей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гр.Бугайової Людмили Сергіївни, гр.Мойсюка Геннадія Віореловича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Style27"/>
        <w:spacing w:lineRule="auto" w:line="240"/>
        <w:ind w:firstLine="709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LibreOffice/6.1.4.2$Windows_x86 LibreOffice_project/9d0f32d1f0b509096fd65e0d4bec26ddd1938fd3</Application>
  <Pages>4</Pages>
  <Words>802</Words>
  <Characters>5632</Characters>
  <CharactersWithSpaces>6650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2020-07-24T09:05:51Z</cp:lastPrinted>
  <dcterms:modified xsi:type="dcterms:W3CDTF">2020-07-28T16:52:07Z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