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 xml:space="preserve">ПРОЄКТ </w: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___________ 2021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припинення дії дозвільних документів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розміщення рекламного засобу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ФОП Веричу В.В.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ФОП Верича Валерія Васильовича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припинення дії дозвільних документів на розміщення рекламного засобу за адресою: в районі магазину «АТБ» по вул. Чайкіної Лізи, керуючись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 р.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26.06.2019 № 279 «Про продовження дії дозволу на розміщення рекламної конструкції - бігборду по вул. Чайкіної Лізи ФОП Веричу В.В.».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Дозвіл на розміщення зовнішньої реклами від 01.07.2019 та </w:t>
      </w:r>
      <w:r>
        <w:rPr>
          <w:rFonts w:cs="Times New Roman" w:ascii="Times New Roman" w:hAnsi="Times New Roman"/>
          <w:sz w:val="28"/>
          <w:szCs w:val="28"/>
          <w:lang w:val="uk-UA"/>
        </w:rPr>
        <w:t>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 Покров за №27 від 08.02.2018.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Зобов’язати ФОП Верича Віктора Васильовича, звільнити місце розміщення рекламного засобу, шляхом демонтування наземної конструкції та приведення території в належний стан.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Style17"/>
        <w:rPr/>
      </w:pPr>
      <w:r>
        <w:rPr/>
        <w:t>Галанова В.В.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LibreOffice/6.1.4.2$Windows_x86 LibreOffice_project/9d0f32d1f0b509096fd65e0d4bec26ddd1938fd3</Application>
  <Pages>2</Pages>
  <Words>209</Words>
  <Characters>1350</Characters>
  <CharactersWithSpaces>1613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2021-01-14T14:59:12Z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