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-344170</wp:posOffset>
                </wp:positionV>
                <wp:extent cx="591185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7pt;margin-top:-27.1pt;width:46.45pt;height:18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 травня 2020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210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22.05.2019 № 220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Алієва Азіза Веліхан огли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– торговельного павільйону для провадження підприємницької діяльності за адресою: в районі будинку №10 по вул. Центральній, керуючись ст. ст. 30, 52 Закону України «Про місцеве самоврядування в Україні», Положенням про порядок розміщення тимчасових споруд у м. Покров у новій редакції,</w:t>
      </w:r>
      <w:r>
        <w:rPr>
          <w:rFonts w:cs="Times New Roman"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затвердженим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45 сесії міської ради 7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31.05.2019 №7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22.05.2019 № 220 «Про погодження продовження терміну розміщення тимчасової споруди – торговельного павільйону в районі будинку №10 по вул. Центральній ФОП Алієву А.В.О.».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43 від 03.07.2019.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(Даниленко Н.С.)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36 від 08.07.2019.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ab/>
        <w:t>А.І. Пастух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LibreOffice/6.1.4.2$Windows_x86 LibreOffice_project/9d0f32d1f0b509096fd65e0d4bec26ddd1938fd3</Application>
  <Pages>1</Pages>
  <Words>167</Words>
  <Characters>1109</Characters>
  <CharactersWithSpaces>1344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2020-06-10T09:43:48Z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