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5476240</wp:posOffset>
                </wp:positionH>
                <wp:positionV relativeFrom="paragraph">
                  <wp:posOffset>-467995</wp:posOffset>
                </wp:positionV>
                <wp:extent cx="610235" cy="219710"/>
                <wp:effectExtent l="0" t="0" r="0" b="0"/>
                <wp:wrapNone/>
                <wp:docPr id="1" name="Фігура1"/>
                <a:graphic xmlns:a="http://schemas.openxmlformats.org/drawingml/2006/main">
                  <a:graphicData uri="http://schemas.microsoft.com/office/word/2010/wordprocessingShape">
                    <wps:wsp>
                      <wps:cNvSpPr txBox="1"/>
                      <wps:spPr>
                        <a:xfrm>
                          <a:off x="0" y="0"/>
                          <a:ext cx="60948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1.2pt;margin-top:-36.85pt;width:47.95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val="uk-UA" w:eastAsia="zh-CN"/>
        </w:rPr>
        <w:t>522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в районі будівлі №15 по вул. Київській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будівлі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будівлі №15 по вул. Київській до 31.12.2020</w:t>
      </w:r>
      <w:bookmarkStart w:id="0" w:name="_GoBack"/>
      <w:bookmarkEnd w:id="0"/>
      <w:r>
        <w:rPr>
          <w:rFonts w:cs="Times New Roman" w:ascii="Times New Roman" w:hAnsi="Times New Roman"/>
          <w:bCs/>
          <w:sz w:val="26"/>
          <w:szCs w:val="26"/>
          <w:lang w:val="uk-UA"/>
        </w:rPr>
        <w:t>.</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15.01.2020: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522</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18.12.</w:t>
      </w:r>
      <w:r>
        <w:rPr>
          <w:rFonts w:eastAsia="Times New Roman" w:cs="Times New Roman" w:ascii="Times New Roman" w:hAnsi="Times New Roman"/>
          <w:sz w:val="23"/>
          <w:szCs w:val="23"/>
          <w:lang w:val="uk-UA" w:eastAsia="ru-RU"/>
        </w:rPr>
        <w:t>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5</Pages>
  <Words>1578</Words>
  <Characters>10909</Characters>
  <CharactersWithSpaces>12892</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2019-08-20T06:15:00Z</dcterms:created>
  <dc:creator>digital_PC</dc:creator>
  <dc:description/>
  <dc:language>uk-UA</dc:language>
  <cp:lastModifiedBy/>
  <cp:lastPrinted>2019-06-19T09:55:00Z</cp:lastPrinted>
  <dcterms:modified xsi:type="dcterms:W3CDTF">2019-12-23T16:43:46Z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