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1"/>
        <w:numPr>
          <w:ilvl w:val="0"/>
          <w:numId w:val="2"/>
        </w:numPr>
        <w:spacing w:before="183" w:after="3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листи керівників КНП “Центр первинної медико-санітарної допомоги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Покровської міської ради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Дніпропетровської області” та КП “Центральна міська лікарня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ради Дніпропетровської області”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>1.  Передати з балансу комунального некомерційного підприємства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“Центр первинної медико-санітарної допомоги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Покровської міської ради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Дніпропетровської області” на баланс комунального підприємства  “Центральна міська лікарня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Покровської міської ради Дніпропетровської області”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майно комунальної власності Покровської міської територіальної громади Дніпропетровської області згідно додатку.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2. 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shd w:fill="auto" w:val="clear"/>
          <w:lang w:val="uk-UA"/>
        </w:rPr>
        <w:tab/>
        <w:t>3. Контроль за виконанням цього рішення покласти на заступників міського голови Чистякова О.Г., Бондаренко Н.О.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Сідашова Т.В.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42244</w:t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false"/>
        <w:bidi w:val="0"/>
        <w:spacing w:lineRule="auto" w:line="240" w:before="0" w:after="29"/>
        <w:ind w:left="5443" w:right="0" w:hanging="0"/>
        <w:jc w:val="right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lang w:val="uk-UA" w:eastAsia="zh-CN" w:bidi="ar-SA"/>
        </w:rPr>
        <w:t>Додаток</w:t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false"/>
        <w:bidi w:val="0"/>
        <w:spacing w:lineRule="auto" w:line="240" w:before="0" w:after="29"/>
        <w:ind w:left="5443" w:right="0" w:hanging="0"/>
        <w:jc w:val="right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lang w:val="uk-UA" w:eastAsia="zh-CN" w:bidi="ar-SA"/>
        </w:rPr>
        <w:t xml:space="preserve">до рішення </w:t>
      </w:r>
      <w:r>
        <w:rPr>
          <w:rFonts w:eastAsia="Calibri" w:cs="Times New Roman Cyr" w:ascii="Times New Roman Cyr" w:hAnsi="Times New Roman Cyr"/>
          <w:color w:val="auto"/>
          <w:kern w:val="2"/>
          <w:sz w:val="28"/>
          <w:szCs w:val="28"/>
          <w:lang w:val="uk-UA" w:eastAsia="zh-CN" w:bidi="ar-SA"/>
        </w:rPr>
        <w:t>__</w:t>
      </w:r>
      <w:r>
        <w:rPr>
          <w:rFonts w:cs="Times New Roman Cyr" w:ascii="Times New Roman Cyr" w:hAnsi="Times New Roman Cyr"/>
          <w:sz w:val="28"/>
          <w:szCs w:val="28"/>
          <w:lang w:val="uk-UA" w:eastAsia="zh-CN" w:bidi="ar-SA"/>
        </w:rPr>
        <w:t xml:space="preserve"> сесії 8 скликання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9"/>
        <w:ind w:left="5443" w:right="0" w:hanging="0"/>
        <w:jc w:val="right"/>
        <w:rPr>
          <w:sz w:val="28"/>
          <w:szCs w:val="28"/>
        </w:rPr>
      </w:pPr>
      <w:r>
        <w:rPr>
          <w:rFonts w:eastAsia="Times New Roman Cyr" w:cs="Times New Roman Cyr" w:ascii="Times New Roman Cyr" w:hAnsi="Times New Roman Cyr"/>
          <w:sz w:val="28"/>
          <w:szCs w:val="28"/>
          <w:lang w:val="uk-UA" w:eastAsia="zh-CN" w:bidi="ar-SA"/>
        </w:rPr>
        <w:t xml:space="preserve">       </w:t>
      </w:r>
      <w:r>
        <w:rPr>
          <w:rFonts w:eastAsia="Calibri" w:cs="Times New Roman Cyr" w:ascii="Times New Roman Cyr" w:hAnsi="Times New Roman Cyr"/>
          <w:sz w:val="28"/>
          <w:szCs w:val="28"/>
          <w:lang w:val="uk-UA" w:eastAsia="zh-CN" w:bidi="ar-SA"/>
        </w:rPr>
        <w:t>_______________ 2021  № ___</w:t>
      </w:r>
    </w:p>
    <w:p>
      <w:pPr>
        <w:pStyle w:val="Normal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  <w:t xml:space="preserve">ПЕРЕЛІК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val="uk-UA"/>
        </w:rPr>
        <w:t xml:space="preserve">комунального майна, що підлягає передачі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val="uk-UA"/>
        </w:rPr>
        <w:t xml:space="preserve">з балансу 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КНП “Центр первинної медико-санітарної допомоги </w:t>
      </w:r>
      <w:r>
        <w:rPr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ради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 Дніпропетровської області” на баланс КП “Центральна міська лікарня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Покровської міської ради Дніпропетровської області”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1" w:type="dxa"/>
        <w:jc w:val="left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072"/>
        <w:gridCol w:w="1473"/>
        <w:gridCol w:w="1009"/>
        <w:gridCol w:w="1884"/>
        <w:gridCol w:w="1742"/>
      </w:tblGrid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 об’єкта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3314" w:leader="none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Інвентарний номер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Первісна балансова вартість, грн.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Залишкова балансова вартість,грн.</w:t>
            </w:r>
          </w:p>
        </w:tc>
      </w:tr>
      <w:tr>
        <w:trPr>
          <w:trHeight w:val="382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Фетальний доплер F10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10470327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2599,00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65,28</w:t>
            </w:r>
          </w:p>
        </w:tc>
      </w:tr>
      <w:tr>
        <w:trPr>
          <w:trHeight w:val="382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Фетальний доплер F10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10470331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2599,00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65,28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економіки</w:t>
        <w:tab/>
        <w:tab/>
        <w:tab/>
        <w:tab/>
        <w:tab/>
        <w:tab/>
        <w:t xml:space="preserve">Т.В.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Сідашова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132080</wp:posOffset>
              </wp:positionV>
              <wp:extent cx="6132195" cy="2667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1520" cy="115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0.4pt" to="484.05pt,11.2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582</TotalTime>
  <Application>LibreOffice/7.0.1.2$Linux_X86_64 LibreOffice_project/7cbcfc562f6eb6708b5ff7d7397325de9e764452</Application>
  <Pages>2</Pages>
  <Words>253</Words>
  <Characters>1868</Characters>
  <CharactersWithSpaces>2352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2021-10-06T15:16:36Z</cp:lastPrinted>
  <dcterms:modified xsi:type="dcterms:W3CDTF">2021-10-07T13:49:16Z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