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5352415</wp:posOffset>
                </wp:positionH>
                <wp:positionV relativeFrom="paragraph">
                  <wp:posOffset>-236220</wp:posOffset>
                </wp:positionV>
                <wp:extent cx="6584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45pt;margin-top:-18.6pt;width:51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25.03.2020р.                                       м.Покров                                                  №116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надання малолітньому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статусу дитини-сироти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померла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17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березня 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( свідоцтво про смерть серія І-КИ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912310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.03.20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р.)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Батько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 ХХХХ 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помер 18 грудня 2009 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( свідоцтво про смерть серія І-КИ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299447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09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р.)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статтями 5, 11 Закону України «Про забезпечення організаційно-правових умов соціального захисту дітей-сиріт та дітей,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 Службі у справах дітей вирішити питання про подальше влаштування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Application>LibreOffice/6.1.4.2$Windows_x86 LibreOffice_project/9d0f32d1f0b509096fd65e0d4bec26ddd1938fd3</Application>
  <Pages>2</Pages>
  <Words>199</Words>
  <Characters>1296</Characters>
  <CharactersWithSpaces>1613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2020-03-20T12:05:00Z</cp:lastPrinted>
  <dcterms:modified xsi:type="dcterms:W3CDTF">2020-04-03T14:19:32Z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