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5238115</wp:posOffset>
                </wp:positionH>
                <wp:positionV relativeFrom="paragraph">
                  <wp:posOffset>-312420</wp:posOffset>
                </wp:positionV>
                <wp:extent cx="8299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45pt;margin-top:-24.6pt;width:65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2966720</wp:posOffset>
            </wp:positionH>
            <wp:positionV relativeFrom="paragraph">
              <wp:posOffset>-398780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зареєстрована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укладання договору дарування квартири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належної їй на праві власності на користь своєї матері,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За вищевказаною адресою зареєстровані малолітні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дітей, ст.177 Сімейного кодексу України, підпунктом 16 пункту «б» ст. 34, статтями 40, 59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.Координацію роботи щодо виконання даного рішення покласти на начальника служби у справах діте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 (Горчакову Д.В.)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LibreOffice/6.1.4.2$Windows_x86 LibreOffice_project/9d0f32d1f0b509096fd65e0d4bec26ddd1938fd3</Application>
  <Pages>1</Pages>
  <Words>206</Words>
  <Characters>1394</Characters>
  <CharactersWithSpaces>1698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2020-03-23T05:52:00Z</cp:lastPrinted>
  <dcterms:modified xsi:type="dcterms:W3CDTF">2020-04-06T11:06:02Z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