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-445770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800725" cy="5588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22.07.2020 р. 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№ 285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1/5 частин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заяви та документи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які проживають за адресою: Дніпропетровська обл., м.Покров, ву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л.ХХХХ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народження, яка проживає за адресою: Дніпропетровська обл., м.Покров, вул.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дарування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1/5 частин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квартири належн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їм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власності, яка знаходиться за адресою: Дніпропетровська область, м.Покров, вул.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народження. За даною адресою зареєстровани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й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малолітній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ст.176 Сімейного кодексу України, ст. 71 Цивільного кодексу України, ст.ст. 17, 18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підпунктом 16 пункту «б» ст.34, статтями 40, 59 Закону України «Про місцеве самоврядування в Україні», виконавчий комітет Покровської міської ради</w:t>
      </w:r>
    </w:p>
    <w:p>
      <w:pPr>
        <w:pStyle w:val="Style27"/>
        <w:jc w:val="center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7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Style27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1.Надати дозвіл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 на укладання договору дарування 1/5 частин квартири, яка знаходиться за адресою: Дніпропетровська область, м.Покров, вул.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Style27"/>
        <w:spacing w:before="57" w:after="57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Style27"/>
        <w:spacing w:before="57" w:after="57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Normal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2.Гр.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протягом 10 днів з моменту укладання договору надати його копію до служби у справах дітей.</w:t>
      </w:r>
    </w:p>
    <w:p>
      <w:pPr>
        <w:pStyle w:val="Normal"/>
        <w:spacing w:lineRule="auto" w:line="24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л</w:t>
      </w:r>
    </w:p>
    <w:sectPr>
      <w:type w:val="nextPage"/>
      <w:pgSz w:w="11906" w:h="16838"/>
      <w:pgMar w:left="1701" w:right="567" w:header="0" w:top="1134" w:footer="0" w:bottom="91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Application>LibreOffice/6.1.4.2$Windows_x86 LibreOffice_project/9d0f32d1f0b509096fd65e0d4bec26ddd1938fd3</Application>
  <Pages>1</Pages>
  <Words>268</Words>
  <Characters>1770</Characters>
  <CharactersWithSpaces>2238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2020-07-27T08:59:28Z</cp:lastPrinted>
  <dcterms:modified xsi:type="dcterms:W3CDTF">2020-07-29T10:30:22Z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