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0" allowOverlap="1" relativeHeight="4">
                <wp:simplePos x="0" y="0"/>
                <wp:positionH relativeFrom="column">
                  <wp:posOffset>3328035</wp:posOffset>
                </wp:positionH>
                <wp:positionV relativeFrom="paragraph">
                  <wp:posOffset>-704850</wp:posOffset>
                </wp:positionV>
                <wp:extent cx="2820670" cy="527685"/>
                <wp:effectExtent l="0" t="0" r="0" b="0"/>
                <wp:wrapNone/>
                <wp:docPr id="1" name="Врезка1"/>
                <a:graphic xmlns:a="http://schemas.openxmlformats.org/drawingml/2006/main">
                  <a:graphicData uri="http://schemas.microsoft.com/office/word/2010/wordprocessingShape">
                    <wps:wsp>
                      <wps:cNvSpPr/>
                      <wps:spPr>
                        <a:xfrm>
                          <a:off x="0" y="0"/>
                          <a:ext cx="2819880" cy="527040"/>
                        </a:xfrm>
                        <a:prstGeom prst="rect">
                          <a:avLst/>
                        </a:prstGeom>
                        <a:noFill/>
                        <a:ln w="0">
                          <a:noFill/>
                        </a:ln>
                      </wps:spPr>
                      <wps:style>
                        <a:lnRef idx="0"/>
                        <a:fillRef idx="0"/>
                        <a:effectRef idx="0"/>
                        <a:fontRef idx="minor"/>
                      </wps:style>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89</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3"/>
                              <w:overflowPunct w:val="tru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2.05pt;margin-top:-55.5pt;width:222pt;height:41.45pt;mso-wrap-style:square;v-text-anchor:top">
                <v:fill o:detectmouseclick="t" on="false"/>
                <v:stroke color="#3465a4" joinstyle="round" endcap="flat"/>
                <v:textbo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89</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3"/>
                        <w:overflowPunct w:val="true"/>
                        <w:spacing w:before="0" w:after="200"/>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73</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бігборду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Партизанській ФОП Есаулову О.Л.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Есаулова Олександра Леонідовича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1. Надати фізичній особі - підприємцю Есаулову Олександру Леонідовичу тимчасово, терміном до 01 березня 2022 року, дозвіл на розміщення двосторонньої рекламної конструкції – бігборду                              по вул. Партизанській.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Есаулова О.Л.:</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bookmarkStart w:id="0" w:name="_GoBack"/>
      <w:bookmarkEnd w:id="0"/>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Заступник міського голови</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А.С. Маглиш</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Заступник міського голови</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О.Г. Чистяков</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Начальник відділу з питань</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запобігання та протидії корупції</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Т.А. Горчакова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Style17"/>
        <w:spacing w:before="0" w:after="0"/>
        <w:jc w:val="both"/>
        <w:rPr>
          <w:sz w:val="28"/>
          <w:szCs w:val="28"/>
        </w:rPr>
      </w:pPr>
      <w:r>
        <w:rPr>
          <w:sz w:val="28"/>
          <w:szCs w:val="28"/>
        </w:rPr>
      </w:r>
    </w:p>
    <w:p>
      <w:pPr>
        <w:pStyle w:val="Style17"/>
        <w:spacing w:before="0" w:after="0"/>
        <w:jc w:val="both"/>
        <w:rPr/>
      </w:pPr>
      <w:r>
        <w:rPr>
          <w:sz w:val="28"/>
          <w:szCs w:val="28"/>
        </w:rPr>
        <w:t>Начальник загального відділу</w:t>
      </w:r>
    </w:p>
    <w:p>
      <w:pPr>
        <w:pStyle w:val="Style17"/>
        <w:spacing w:before="0" w:after="0"/>
        <w:jc w:val="both"/>
        <w:rPr/>
      </w:pPr>
      <w:r>
        <w:rPr>
          <w:sz w:val="28"/>
          <w:szCs w:val="28"/>
        </w:rPr>
        <w:t>_________________ В.С. Агапова</w:t>
      </w:r>
    </w:p>
    <w:p>
      <w:pPr>
        <w:pStyle w:val="Style17"/>
        <w:spacing w:before="0" w:after="0"/>
        <w:jc w:val="both"/>
        <w:rPr/>
      </w:pPr>
      <w:r>
        <w:rPr>
          <w:sz w:val="28"/>
          <w:szCs w:val="28"/>
        </w:rPr>
        <w:t>_________________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В.о. головного архітектора</w:t>
      </w:r>
      <w:r>
        <w:rPr>
          <w:rFonts w:cs="Times New Roman" w:ascii="Times New Roman" w:hAnsi="Times New Roman"/>
          <w:sz w:val="28"/>
          <w:szCs w:val="28"/>
          <w:lang w:val="uk-UA" w:eastAsia="ar-S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начальника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В.В. Галанова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Головний спеціаліст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Л.А. Кондіякова</w:t>
      </w:r>
    </w:p>
    <w:p>
      <w:pPr>
        <w:pStyle w:val="NoSpacing"/>
        <w:jc w:val="both"/>
        <w:rPr/>
      </w:pPr>
      <w:r>
        <w:rPr>
          <w:rFonts w:cs="Times New Roman" w:ascii="Times New Roman" w:hAnsi="Times New Roman"/>
          <w:sz w:val="28"/>
          <w:szCs w:val="28"/>
          <w:lang w:val="uk-UA" w:eastAsia="ar-SA"/>
        </w:rPr>
        <w:t>______________</w:t>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Содержимое врезки"/>
    <w:basedOn w:val="Normal"/>
    <w:qFormat/>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LibreOffice/7.0.3.1$Linux_X86_64 LibreOffice_project/00$Build-1</Application>
  <Pages>3</Pages>
  <Words>394</Words>
  <Characters>2746</Characters>
  <CharactersWithSpaces>3234</CharactersWithSpaces>
  <Paragraphs>44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2019-02-25T11:15:00Z</dcterms:created>
  <dc:creator>digital_PC</dc:creator>
  <dc:description/>
  <dc:language>uk-UA</dc:language>
  <cp:lastModifiedBy/>
  <cp:lastPrinted>2019-02-15T07:48:00Z</cp:lastPrinted>
  <dcterms:modified xsi:type="dcterms:W3CDTF">2021-08-19T10:16:09Z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