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5624195</wp:posOffset>
                </wp:positionH>
                <wp:positionV relativeFrom="paragraph">
                  <wp:posOffset>20955</wp:posOffset>
                </wp:positionV>
                <wp:extent cx="553085" cy="1911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42.85pt;margin-top:1.65pt;width:43.45pt;height:14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26.02.2020р.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№60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проживає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квартири 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своєї доньки,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народження. За вищевказаною адресою зареєстрована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Мати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заперечує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її користь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ст.177 Сімейного кодексу України, підпунктом 16 пункту «б» ст. 34, статтями 40, 59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дарування квартири, яка знаходиться за адресою: Дніпропетровська область,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LibreOffice/6.0.7.3$Linux_X86_64 LibreOffice_project/00m0$Build-3</Application>
  <Pages>2</Pages>
  <Words>214</Words>
  <Characters>1428</Characters>
  <CharactersWithSpaces>1755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ru-RU</dc:language>
  <cp:lastModifiedBy/>
  <cp:lastPrinted>2020-02-20T11:37:00Z</cp:lastPrinted>
  <dcterms:modified xsi:type="dcterms:W3CDTF">2020-02-27T15:00:47Z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