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5479415</wp:posOffset>
                </wp:positionH>
                <wp:positionV relativeFrom="paragraph">
                  <wp:posOffset>-459105</wp:posOffset>
                </wp:positionV>
                <wp:extent cx="573405" cy="1600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kern w:val="2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31.45pt;margin-top:-36.15pt;width:45.0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kern w:val="2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1"/>
        <w:bidi w:val="0"/>
        <w:spacing w:lineRule="auto" w:line="240" w:before="0" w:after="0"/>
        <w:ind w:left="0" w:right="0" w:hanging="0"/>
        <w:jc w:val="center"/>
        <w:rPr>
          <w:b/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-537210</wp:posOffset>
            </wp:positionV>
            <wp:extent cx="414020" cy="5943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1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1"/>
        <w:bidi w:val="0"/>
        <w:spacing w:lineRule="auto" w:line="240" w:before="0" w:after="0"/>
        <w:ind w:left="0" w:right="0" w:hanging="0"/>
        <w:jc w:val="center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6120130" cy="1460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7pt" to="483.1pt,5.3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1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Normal"/>
        <w:spacing w:before="0" w:after="0"/>
        <w:jc w:val="center"/>
        <w:rPr/>
      </w:pPr>
      <w:r>
        <w:rPr>
          <w:b w:val="false"/>
          <w:bCs w:val="false"/>
          <w:sz w:val="28"/>
          <w:szCs w:val="28"/>
          <w:lang w:val="uk-UA"/>
        </w:rPr>
        <w:tab/>
        <w:tab/>
        <w:tab/>
        <w:tab/>
        <w:tab/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28.08.2019 р.   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м.Покров                                            № 241-р</w:t>
      </w:r>
    </w:p>
    <w:p>
      <w:pPr>
        <w:pStyle w:val="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12"/>
        <w:rPr/>
      </w:pPr>
      <w:r>
        <w:rPr>
          <w:rFonts w:ascii="Times New Roman" w:hAnsi="Times New Roman"/>
          <w:bCs/>
          <w:sz w:val="28"/>
          <w:szCs w:val="28"/>
        </w:rPr>
        <w:t>Про  інформування населення</w:t>
      </w:r>
    </w:p>
    <w:p>
      <w:pPr>
        <w:pStyle w:val="12"/>
        <w:rPr/>
      </w:pPr>
      <w:r>
        <w:rPr>
          <w:rFonts w:ascii="Times New Roman" w:hAnsi="Times New Roman"/>
          <w:bCs/>
          <w:sz w:val="28"/>
          <w:szCs w:val="28"/>
        </w:rPr>
        <w:t>щодо діяльності Центру надання</w:t>
      </w:r>
    </w:p>
    <w:p>
      <w:pPr>
        <w:pStyle w:val="12"/>
        <w:rPr/>
      </w:pPr>
      <w:r>
        <w:rPr>
          <w:rFonts w:ascii="Times New Roman" w:hAnsi="Times New Roman"/>
          <w:bCs/>
          <w:sz w:val="28"/>
          <w:szCs w:val="28"/>
        </w:rPr>
        <w:t>адміністративних послуг</w:t>
      </w:r>
    </w:p>
    <w:p>
      <w:pPr>
        <w:pStyle w:val="NoSpacing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 та Законом України «Про адміністративні послуги»,  з метою організації роботи щодо залучення та інформування населення на тему: «Що таке належний Центр надання адміністративних послуг (далі – ЦНАП) у м.Покров», </w:t>
      </w:r>
      <w:r>
        <w:rPr>
          <w:rFonts w:ascii="Times New Roman" w:hAnsi="Times New Roman"/>
          <w:sz w:val="28"/>
          <w:szCs w:val="28"/>
          <w:lang w:eastAsia="uk-UA"/>
        </w:rPr>
        <w:t xml:space="preserve">в рамках співробітництва з </w:t>
      </w:r>
      <w:r>
        <w:rPr>
          <w:rFonts w:ascii="Times New Roman" w:hAnsi="Times New Roman"/>
          <w:sz w:val="28"/>
          <w:szCs w:val="28"/>
        </w:rPr>
        <w:t>Програмою «U-LEAD з Європою -  створення Центрів надання адміністративних послуг та підвищення інформування населення», фаза впровадження (Раунд 1):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1.Затвердити склад робочої групи по інформуванню населення щодо діяльності Центру надання адміністративних послуг, що додається.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2.Затвердити план заходів робочої групи по інформуванню населення на тему: «Що таке належний ЦНАП у м.Покров», що додається.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3.Заповнити гендерний паспорт м.Покров  згідно з додатком.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4.Координацію за виконанням цього розпорядження покласти                  на адміністратора- керівника ЦНАП  Клочковську І.В., контроль - на керуючого  справами виконкому   Відяєву  Г.М.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                О.М. Шаповал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827" w:type="dxa"/>
        <w:jc w:val="left"/>
        <w:tblInd w:w="-8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827"/>
      </w:tblGrid>
      <w:tr>
        <w:trPr/>
        <w:tc>
          <w:tcPr>
            <w:tcW w:w="9827" w:type="dxa"/>
            <w:tcBorders/>
            <w:shd w:fill="auto" w:val="clear"/>
          </w:tcPr>
          <w:p>
            <w:pPr>
              <w:pStyle w:val="Style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/>
        <w:tc>
          <w:tcPr>
            <w:tcW w:w="9827" w:type="dxa"/>
            <w:tcBorders/>
            <w:shd w:fill="auto" w:val="clear"/>
          </w:tcPr>
          <w:p>
            <w:pPr>
              <w:pStyle w:val="Style29"/>
              <w:snapToGrid w:val="fals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827" w:type="dxa"/>
            <w:tcBorders/>
            <w:shd w:fill="auto" w:val="clear"/>
          </w:tcPr>
          <w:p>
            <w:pPr>
              <w:pStyle w:val="Style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827" w:type="dxa"/>
            <w:tcBorders/>
            <w:shd w:fill="auto" w:val="clear"/>
          </w:tcPr>
          <w:p>
            <w:pPr>
              <w:pStyle w:val="Style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8"/>
          <w:szCs w:val="18"/>
          <w:lang w:eastAsia="ru-RU"/>
        </w:rPr>
      </w:pPr>
      <w:r>
        <w:rPr>
          <w:rFonts w:eastAsia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 xml:space="preserve">          ЗАТВЕРДЖЕНО: 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Розпорядження  міського голови 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27.08.2019№241-р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Персональний </w:t>
      </w:r>
      <w:r>
        <w:rPr>
          <w:rFonts w:ascii="Times New Roman" w:hAnsi="Times New Roman"/>
          <w:b/>
          <w:sz w:val="28"/>
          <w:szCs w:val="28"/>
        </w:rPr>
        <w:t xml:space="preserve">склад </w:t>
      </w:r>
    </w:p>
    <w:p>
      <w:pPr>
        <w:pStyle w:val="12"/>
        <w:jc w:val="center"/>
        <w:rPr/>
      </w:pPr>
      <w:r>
        <w:rPr>
          <w:rFonts w:ascii="Times New Roman" w:hAnsi="Times New Roman"/>
          <w:b/>
          <w:sz w:val="28"/>
          <w:szCs w:val="28"/>
        </w:rPr>
        <w:t>робочої групи по роботі з інформування  населення щодо діяльності ЦНАП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ind w:left="-284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1.Відяєва Г.М. – голова робочої групи,  керуючий справами виконкому.</w:t>
      </w:r>
    </w:p>
    <w:p>
      <w:pPr>
        <w:pStyle w:val="Normal"/>
        <w:spacing w:lineRule="auto" w:line="240" w:before="0" w:after="0"/>
        <w:ind w:left="-284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2.Клочковська І.В. – секретар робочої групи, адміністратор – керівник   ЦНАП.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Члени робочої групи: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3.Ігнатюк Т.М. – депутат міської ради, начальник УПСЗН.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4.Хомік О.В. – начальник юридичного відділу.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5.Нестреляй О.М.-державний реєстратор речових прав на нерухоме  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майно – начальник реєстраційного відділу.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6.Сізова О.А.-начальник прес-служби міського голови.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7.Кравченко О.І.-директор Покровської міської філії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Дніпропетровського обласного  центру зайнятості.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8.Царенко І.Г.-начальник відділу обліку та розподілу житла.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9.Ігнатенко Ю.А.-начальник архівного відділу.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Адміністратор-керівник ЦНАП                                           І.В.  Клочковська</w:t>
      </w:r>
    </w:p>
    <w:p>
      <w:pPr>
        <w:pStyle w:val="Normal"/>
        <w:spacing w:lineRule="auto" w:line="240" w:before="0" w:after="0"/>
        <w:ind w:left="4253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br w:type="page"/>
      </w:r>
    </w:p>
    <w:p>
      <w:pPr>
        <w:pStyle w:val="Normal"/>
        <w:spacing w:lineRule="auto" w:line="240" w:before="0" w:after="0"/>
        <w:ind w:left="4253"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ЗАТВЕРДЖЕНО: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Розпорядження  міського голови 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27.08.2019 №241</w:t>
      </w:r>
    </w:p>
    <w:p>
      <w:pPr>
        <w:pStyle w:val="12"/>
        <w:ind w:left="4253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253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ПЛАН ЗАХОДІВ ПО  ІНФОРМУВАННЮ НАСЕЛЕННЯ НА ТЕМУ:            « ЩО ТАКЕ НАЛЕЖНИЙ ЦНАП»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10491" w:type="dxa"/>
        <w:jc w:val="left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4562"/>
        <w:gridCol w:w="2103"/>
        <w:gridCol w:w="1416"/>
        <w:gridCol w:w="1701"/>
      </w:tblGrid>
      <w:tr>
        <w:trPr>
          <w:trHeight w:val="79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з.п.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Назва та зміст заходу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</w:rPr>
              <w:t>Кількість осіб, яких заплановано залучити до заходу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Відповідальні Особи</w:t>
            </w:r>
          </w:p>
        </w:tc>
      </w:tr>
      <w:tr>
        <w:trPr>
          <w:trHeight w:val="368" w:hRule="atLeast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Робота з інформування населення</w:t>
            </w:r>
          </w:p>
        </w:tc>
      </w:tr>
      <w:tr>
        <w:trPr>
          <w:trHeight w:val="167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Проведення навчально-інформаційної та роз’яснювальної роботи  в закладах  освіти, культури, охорони здоров’я на тему: «Що таке  належний ЦНАП?»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вересень - жовтень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Робоча група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49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Проведення навчально-інформаційної та роз’яснювальної роботи серед населення громади та в закладах соціального значення на тему : як захистити свої права у ЦНАП, а саме: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куди звертатися;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підстави та процедура;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особливості та наслідки.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Робоча група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Модернізація розділу «ЦНАП» на сайті громади відповідно до вимог законодавства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Аудиторія сайту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Поновлення сторінки про ЦНАП  в соціальній мережі Фейсбук та її наповнення матеріалами розробленими Програмою U-LEAD з Європою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Аудиторія сторінки ЦНАП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Проведення інформаційної кампанії з залученням місцевих ЗМІ та громадських об’єднань, а саме: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 поширення інформації через місцеві паперові та інтернет ресурси про діяльність ЦНАП у місті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Аудиторія ЗМІ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Робоча група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Розміщення в комунальних закладах друкованих матеріалів, з використанням макетів, розроблених Програмою </w:t>
            </w: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 xml:space="preserve">U-LEAD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 Європою, щодо  роботи ЦНАП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Відвідувачі комунальних закладів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Робоча група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Проведення тренінгу за участю працівників управління праці щодо розширення кола  адміністративних послуг  через ЦНАП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Адміністратори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ЦНАП, працівники соціальної сфери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Робоча група</w:t>
            </w:r>
          </w:p>
        </w:tc>
      </w:tr>
      <w:tr>
        <w:trPr/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Робота із залучення населення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Оголошення та проведення конкурсу малюнків після проведення навчально-інформаційної та роз’яснювальної роботи серед школярів на тему: «Що таке належний ЦНАП ?».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Розміщення кращих робіт на інформаційних стендах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Організація в ЦНАП екскурсій для учнів (старшокласники) навчальних закладів  та для всіх зацікавлених громадян про ЦНАП та послуги які надаються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Жовтень -листопад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Проведення екскурсій до ЦНАП для представників громадських </w:t>
            </w:r>
            <w:r>
              <w:rPr>
                <w:rFonts w:eastAsia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  <w:t>організацій та об’єднань, що діють на території міста, представників  підприємств-виробників, підприємств торгівлі та сфери послуг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Жовтень - 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Популяризація в ЦНАПі досягнень громади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Відвідувачі ЦНАП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lang w:eastAsia="ru-RU"/>
              </w:rPr>
              <w:t>Впровадження гендерного підходу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Заповнення інформації про громаду в Гендерний чек-лист (на початку та в кінці проекту)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За потреби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Заповнення гендерного паспорту м.Покрова згідно з Додатком 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Серпень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Клочковська І.В.</w:t>
            </w:r>
          </w:p>
        </w:tc>
      </w:tr>
    </w:tbl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Адміністратор-керівник  ЦНАП                                           І.В. Клочковська </w:t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 розпорядження  міського голови </w:t>
      </w:r>
    </w:p>
    <w:p>
      <w:pPr>
        <w:pStyle w:val="Normal"/>
        <w:spacing w:lineRule="auto" w:line="240" w:before="0" w:after="0"/>
        <w:ind w:left="4253" w:hanging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27.08.2019 №241</w:t>
      </w:r>
    </w:p>
    <w:p>
      <w:pPr>
        <w:pStyle w:val="12"/>
        <w:ind w:firstLine="4253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Гендерний паспорт</w:t>
      </w:r>
    </w:p>
    <w:p>
      <w:pPr>
        <w:pStyle w:val="NormalWeb"/>
        <w:pBdr>
          <w:bottom w:val="dashed" w:sz="6" w:space="5" w:color="CEAF99"/>
        </w:pBdr>
        <w:spacing w:before="0" w:after="0"/>
        <w:jc w:val="center"/>
        <w:rPr/>
      </w:pPr>
      <w:r>
        <w:rPr>
          <w:b/>
          <w:bCs/>
          <w:color w:val="000000"/>
          <w:sz w:val="28"/>
          <w:szCs w:val="28"/>
        </w:rPr>
        <w:t>ЗМІСТ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</w:rPr>
        <w:t>Вступ</w:t>
      </w:r>
      <w:r>
        <w:rPr>
          <w:b/>
          <w:color w:val="000000"/>
          <w:sz w:val="28"/>
          <w:szCs w:val="28"/>
          <w:lang w:val="uk-UA"/>
        </w:rPr>
        <w:t>.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Назва ОТГ. Дата створення. Населенні пункти, які увійшли до складу ОТГ. </w:t>
      </w:r>
    </w:p>
    <w:p>
      <w:pPr>
        <w:pStyle w:val="NormalWeb"/>
        <w:numPr>
          <w:ilvl w:val="0"/>
          <w:numId w:val="2"/>
        </w:numPr>
        <w:pBdr>
          <w:bottom w:val="dashed" w:sz="6" w:space="5" w:color="CEAF99"/>
        </w:pBdr>
        <w:spacing w:before="0" w:after="0"/>
        <w:ind w:left="284" w:hanging="284"/>
        <w:rPr/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Демографічні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показники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населення </w:t>
      </w:r>
      <w:r>
        <w:rPr>
          <w:color w:val="000000"/>
          <w:sz w:val="28"/>
          <w:szCs w:val="28"/>
          <w:lang w:val="uk-UA"/>
        </w:rPr>
        <w:t>в ОТГ</w:t>
      </w:r>
      <w:r>
        <w:rPr>
          <w:color w:val="000000"/>
          <w:sz w:val="28"/>
          <w:szCs w:val="28"/>
        </w:rPr>
        <w:t xml:space="preserve"> за статтю </w:t>
      </w:r>
      <w:r>
        <w:rPr>
          <w:color w:val="000000"/>
          <w:sz w:val="28"/>
          <w:szCs w:val="28"/>
          <w:lang w:val="uk-UA"/>
        </w:rPr>
        <w:t xml:space="preserve">за 2018 рік 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населення </w:t>
      </w:r>
      <w:r>
        <w:rPr>
          <w:color w:val="000000"/>
          <w:sz w:val="28"/>
          <w:szCs w:val="28"/>
          <w:lang w:val="uk-UA"/>
        </w:rPr>
        <w:t>в ОТГ</w:t>
      </w:r>
      <w:r>
        <w:rPr>
          <w:color w:val="000000"/>
          <w:sz w:val="28"/>
          <w:szCs w:val="28"/>
        </w:rPr>
        <w:t xml:space="preserve"> за віком </w:t>
      </w:r>
      <w:r>
        <w:rPr>
          <w:color w:val="000000"/>
          <w:sz w:val="28"/>
          <w:szCs w:val="28"/>
          <w:lang w:val="uk-UA"/>
        </w:rPr>
        <w:t>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народжених за статтю </w:t>
      </w:r>
      <w:r>
        <w:rPr>
          <w:color w:val="000000"/>
          <w:sz w:val="28"/>
          <w:szCs w:val="28"/>
          <w:lang w:val="uk-UA"/>
        </w:rPr>
        <w:t xml:space="preserve">в ОТГ за 2018 рік 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Відпустки по догляду за дитиною </w:t>
      </w:r>
      <w:r>
        <w:rPr>
          <w:color w:val="000000"/>
          <w:sz w:val="28"/>
          <w:szCs w:val="28"/>
          <w:lang w:val="uk-UA"/>
        </w:rPr>
        <w:t>в ОТГ за 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померлих за статтю </w:t>
      </w:r>
      <w:r>
        <w:rPr>
          <w:color w:val="000000"/>
          <w:sz w:val="28"/>
          <w:szCs w:val="28"/>
          <w:lang w:val="uk-UA"/>
        </w:rPr>
        <w:t>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померлих за статтю та окремими віковими группами  </w:t>
      </w:r>
      <w:r>
        <w:rPr>
          <w:color w:val="000000"/>
          <w:sz w:val="28"/>
          <w:szCs w:val="28"/>
          <w:lang w:val="uk-UA"/>
        </w:rPr>
        <w:t>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Шлюбний стан населення </w:t>
      </w:r>
      <w:r>
        <w:rPr>
          <w:color w:val="000000"/>
          <w:sz w:val="28"/>
          <w:szCs w:val="28"/>
          <w:lang w:val="uk-UA"/>
        </w:rPr>
        <w:t>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3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осіб, які вступили до шлюбу, за віком по </w:t>
      </w:r>
      <w:r>
        <w:rPr>
          <w:color w:val="000000"/>
          <w:sz w:val="28"/>
          <w:szCs w:val="28"/>
          <w:lang w:val="uk-UA"/>
        </w:rPr>
        <w:t>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pBdr>
          <w:bottom w:val="dashed" w:sz="6" w:space="5" w:color="CEAF99"/>
        </w:pBdr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color w:val="000000"/>
          <w:sz w:val="28"/>
          <w:szCs w:val="28"/>
          <w:lang w:val="uk-UA"/>
        </w:rPr>
        <w:t>Географічні та економічні показники в ОТГ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Місце розташування ОТГ в області.  Близькість до обласного та районного центру.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Кількість працюючого населення в ОТГ з розбивкою за статтю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Основні напрямки економічної спроможності ОТГ (економічна характеристика ОТГ, хто наповнює бюджет ОТГ)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Наявність та види зайнятості населення. Хто переважно 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працює на підприємствах за статтю. </w:t>
      </w:r>
    </w:p>
    <w:p>
      <w:pPr>
        <w:pStyle w:val="NormalWeb"/>
        <w:pBdr>
          <w:bottom w:val="dashed" w:sz="6" w:space="5" w:color="CEAF99"/>
        </w:pBdr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numPr>
          <w:ilvl w:val="0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</w:rPr>
        <w:t>Міграція</w:t>
      </w:r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</w:rPr>
        <w:t xml:space="preserve"> населення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</w:t>
      </w:r>
      <w:r>
        <w:rPr>
          <w:color w:val="000000"/>
          <w:sz w:val="28"/>
          <w:szCs w:val="28"/>
          <w:lang w:val="uk-UA"/>
        </w:rPr>
        <w:t>внутрішньо переміщенних осіб (ВПО)</w:t>
      </w:r>
      <w:r>
        <w:rPr>
          <w:rStyle w:val="Style16"/>
          <w:rStyle w:val="Style16"/>
          <w:color w:val="000000"/>
          <w:sz w:val="28"/>
          <w:szCs w:val="28"/>
          <w:lang w:val="uk-UA"/>
        </w:rPr>
        <w:footnoteReference w:id="2"/>
      </w:r>
      <w:r>
        <w:rPr>
          <w:color w:val="000000"/>
          <w:sz w:val="28"/>
          <w:szCs w:val="28"/>
        </w:rPr>
        <w:t xml:space="preserve"> за статтю</w:t>
      </w:r>
      <w:r>
        <w:rPr>
          <w:color w:val="000000"/>
          <w:sz w:val="28"/>
          <w:szCs w:val="28"/>
          <w:lang w:val="uk-UA"/>
        </w:rPr>
        <w:t xml:space="preserve"> 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 xml:space="preserve">Розподіл  </w:t>
      </w:r>
      <w:r>
        <w:rPr>
          <w:color w:val="000000"/>
          <w:sz w:val="28"/>
          <w:szCs w:val="28"/>
          <w:lang w:val="uk-UA"/>
        </w:rPr>
        <w:t xml:space="preserve">ВПО </w:t>
      </w:r>
      <w:r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  <w:lang w:val="uk-UA"/>
        </w:rPr>
        <w:t>віком в ОТГ за 2018 рік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sz w:val="28"/>
          <w:szCs w:val="28"/>
          <w:lang w:val="uk-UA"/>
        </w:rPr>
        <w:t>Кількість нових мешканців в ОТГ (ново зареєстрованих місць проживання) за друге півріччя 2017 року або за 1 півріччя 2018</w:t>
      </w:r>
      <w:r>
        <w:rPr>
          <w:sz w:val="28"/>
          <w:szCs w:val="28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sz w:val="28"/>
          <w:szCs w:val="28"/>
          <w:lang w:val="uk-UA"/>
        </w:rPr>
        <w:t>Кількість вибулих громадян (знятих з реєстрації в ОТГ) друге півріччя 2017 року або за 1 півріччя 2018.</w:t>
      </w:r>
    </w:p>
    <w:p>
      <w:pPr>
        <w:pStyle w:val="NormalWeb"/>
        <w:pBdr>
          <w:bottom w:val="dashed" w:sz="6" w:space="5" w:color="CEAF99"/>
        </w:pBdr>
        <w:spacing w:before="0" w:after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numPr>
          <w:ilvl w:val="0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  <w:lang w:val="uk-UA"/>
        </w:rPr>
        <w:t>Соціальна структура населення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Кількість осіб з інвалідністю серед дорослого населення та дітей станом на дату складання портрету </w:t>
      </w:r>
      <w:r>
        <w:rPr>
          <w:color w:val="000000"/>
          <w:sz w:val="28"/>
          <w:szCs w:val="28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Кількість осіб пенсійного віку з розбивкою за статтю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</w:p>
    <w:p>
      <w:pPr>
        <w:pStyle w:val="NormalWeb"/>
        <w:pBdr>
          <w:bottom w:val="dashed" w:sz="6" w:space="5" w:color="CEAF99"/>
        </w:pBd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  <w:lang w:val="uk-UA"/>
        </w:rPr>
        <w:t>Управління ОТГ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Керівництво ОТГ за статтю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Склад депутатського корпусу – загальна кількість та з розбивкою за статтю.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Структура ОТГ та службовці ОТГ за статтю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Наявність громадських організацій.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5.4.1.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Напрямки діяльності організацій. 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5.4.2. Керівництво організацій за віком та статтю (за можливістю) </w:t>
      </w:r>
      <w:r>
        <w:rPr>
          <w:color w:val="000000"/>
          <w:sz w:val="28"/>
          <w:szCs w:val="28"/>
          <w:lang w:val="en-US"/>
        </w:rPr>
        <w:t>.</w:t>
      </w:r>
    </w:p>
    <w:p>
      <w:pPr>
        <w:pStyle w:val="NormalWeb"/>
        <w:pBdr>
          <w:bottom w:val="dashed" w:sz="6" w:space="5" w:color="CEAF99"/>
        </w:pBdr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numPr>
          <w:ilvl w:val="0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b/>
          <w:color w:val="000000"/>
          <w:sz w:val="28"/>
          <w:szCs w:val="28"/>
          <w:lang w:val="uk-UA"/>
        </w:rPr>
        <w:t xml:space="preserve">Інфраструктура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>Наявні заклади освіти (позашкільні, дошкільні, школи, гуртки, ПТНЗ тощо).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Наявність закладів сфери охорони здоров’я  ФАП, лікарня тощо. У разі відсутності, вказати відстань та способи добирання до найближчого закладу первинної медичної допомоги.  </w:t>
      </w:r>
    </w:p>
    <w:p>
      <w:pPr>
        <w:pStyle w:val="NormalWeb"/>
        <w:numPr>
          <w:ilvl w:val="1"/>
          <w:numId w:val="4"/>
        </w:numPr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  <w:lang w:val="uk-UA"/>
        </w:rPr>
        <w:t xml:space="preserve">Наявність та розміщення скверів, парків та інших місць відпочинку та спілкування населення, а також дитячих майданчиків спільного користування, спортивних майданчиків. 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>Висновок</w:t>
      </w:r>
    </w:p>
    <w:p>
      <w:pPr>
        <w:pStyle w:val="NormalWeb"/>
        <w:pBdr>
          <w:bottom w:val="dashed" w:sz="6" w:space="5" w:color="CEAF99"/>
        </w:pBdr>
        <w:spacing w:before="0" w:after="0"/>
        <w:rPr/>
      </w:pPr>
      <w:r>
        <w:rPr>
          <w:color w:val="000000"/>
          <w:sz w:val="28"/>
          <w:szCs w:val="28"/>
        </w:rPr>
        <w:t>Список джерел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ind w:firstLine="4253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Адміністратор-керівник  ЦНАП                                               І.В. Клочковська </w:t>
      </w:r>
    </w:p>
    <w:p>
      <w:pPr>
        <w:pStyle w:val="Normal"/>
        <w:tabs>
          <w:tab w:val="clear" w:pos="709"/>
          <w:tab w:val="left" w:pos="8160" w:leader="none"/>
        </w:tabs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6345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textAlignment w:val="baseline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8"/>
        <w:spacing w:before="0" w:after="200"/>
        <w:rPr/>
      </w:pPr>
      <w:r>
        <w:rPr>
          <w:rStyle w:val="Style17"/>
        </w:rPr>
        <w:footnoteRef/>
      </w:r>
      <w:r>
        <w:rPr/>
        <w:tab/>
        <w:t xml:space="preserve"> </w:t>
      </w:r>
      <w:r>
        <w:rPr/>
        <w:t>Внутрішньо переміщенні особи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6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4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60" w:hanging="252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abstractNum w:abstractNumId="4">
    <w:lvl w:ilvl="0">
      <w:start w:val="2"/>
      <w:numFmt w:val="decimal"/>
      <w:lvlText w:val="%1."/>
      <w:lvlJc w:val="left"/>
      <w:pPr>
        <w:ind w:left="510" w:hanging="510"/>
      </w:pPr>
      <w:rPr>
        <w:sz w:val="28"/>
        <w:b/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70">
    <w:name w:val="ListLabel 70"/>
    <w:qFormat/>
    <w:rPr>
      <w:rFonts w:cs="Times New Roman"/>
      <w:b/>
      <w:sz w:val="28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  <w:sz w:val="28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  <w:b/>
      <w:sz w:val="28"/>
    </w:rPr>
  </w:style>
  <w:style w:type="character" w:styleId="ListLabel89">
    <w:name w:val="ListLabel 89"/>
    <w:qFormat/>
    <w:rPr>
      <w:rFonts w:cs="Times New Roman"/>
      <w:sz w:val="28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Style16">
    <w:name w:val="Прив'язка виноски"/>
    <w:rPr>
      <w:rFonts w:ascii="Times New Roman" w:hAnsi="Times New Roman" w:cs="Times New Roman"/>
      <w:vertAlign w:val="superscript"/>
    </w:rPr>
  </w:style>
  <w:style w:type="character" w:styleId="Style17">
    <w:name w:val="Символи виноски"/>
    <w:qFormat/>
    <w:rPr/>
  </w:style>
  <w:style w:type="character" w:styleId="Style18">
    <w:name w:val="Прив'язка кінцевої виноски"/>
    <w:rPr>
      <w:vertAlign w:val="superscript"/>
    </w:rPr>
  </w:style>
  <w:style w:type="character" w:styleId="Style19">
    <w:name w:val="Символи кінцевої виноски"/>
    <w:qFormat/>
    <w:rPr/>
  </w:style>
  <w:style w:type="character" w:styleId="ListLabel97">
    <w:name w:val="ListLabel 97"/>
    <w:qFormat/>
    <w:rPr>
      <w:rFonts w:cs="Times New Roman"/>
      <w:b/>
      <w:sz w:val="28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  <w:sz w:val="28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  <w:b/>
      <w:sz w:val="28"/>
    </w:rPr>
  </w:style>
  <w:style w:type="character" w:styleId="ListLabel116">
    <w:name w:val="ListLabel 116"/>
    <w:qFormat/>
    <w:rPr>
      <w:rFonts w:cs="Times New Roman"/>
      <w:sz w:val="28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  <w:b/>
      <w:sz w:val="28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  <w:sz w:val="28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  <w:b/>
      <w:sz w:val="28"/>
    </w:rPr>
  </w:style>
  <w:style w:type="character" w:styleId="ListLabel143">
    <w:name w:val="ListLabel 143"/>
    <w:qFormat/>
    <w:rPr>
      <w:rFonts w:cs="Times New Roman"/>
      <w:sz w:val="28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  <w:b/>
      <w:sz w:val="28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  <w:sz w:val="28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  <w:b/>
      <w:sz w:val="28"/>
    </w:rPr>
  </w:style>
  <w:style w:type="character" w:styleId="ListLabel170">
    <w:name w:val="ListLabel 170"/>
    <w:qFormat/>
    <w:rPr>
      <w:rFonts w:cs="Times New Roman"/>
      <w:sz w:val="28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  <w:b/>
      <w:sz w:val="28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  <w:sz w:val="28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  <w:b/>
      <w:sz w:val="28"/>
    </w:rPr>
  </w:style>
  <w:style w:type="character" w:styleId="ListLabel197">
    <w:name w:val="ListLabel 197"/>
    <w:qFormat/>
    <w:rPr>
      <w:rFonts w:cs="Times New Roman"/>
      <w:sz w:val="28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  <w:b/>
      <w:sz w:val="28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  <w:sz w:val="28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  <w:b/>
      <w:sz w:val="28"/>
    </w:rPr>
  </w:style>
  <w:style w:type="character" w:styleId="ListLabel224">
    <w:name w:val="ListLabel 224"/>
    <w:qFormat/>
    <w:rPr>
      <w:rFonts w:cs="Times New Roman"/>
      <w:sz w:val="28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b83ffe"/>
    <w:pPr>
      <w:spacing w:before="0" w:after="200"/>
      <w:ind w:left="720" w:hanging="0"/>
      <w:contextualSpacing/>
    </w:pPr>
    <w:rPr/>
  </w:style>
  <w:style w:type="paragraph" w:styleId="Style25" w:customStyle="1">
    <w:name w:val="Вміст рамки"/>
    <w:basedOn w:val="Normal"/>
    <w:qFormat/>
    <w:pPr/>
    <w:rPr/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7">
    <w:name w:val="Titl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Без интервала1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8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LibreOffice/6.1.4.2$Windows_x86 LibreOffice_project/9d0f32d1f0b509096fd65e0d4bec26ddd1938fd3</Application>
  <Pages>6</Pages>
  <Words>977</Words>
  <Characters>6276</Characters>
  <CharactersWithSpaces>7557</CharactersWithSpaces>
  <Paragraphs>167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2019-04-15T13:39:00Z</dcterms:created>
  <dc:creator>Пользователь Windows</dc:creator>
  <dc:description/>
  <dc:language>uk-UA</dc:language>
  <cp:lastModifiedBy/>
  <cp:lastPrinted>2019-08-29T14:05:48Z</cp:lastPrinted>
  <dcterms:modified xsi:type="dcterms:W3CDTF">2019-08-30T10:29:36Z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