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5361940</wp:posOffset>
                </wp:positionH>
                <wp:positionV relativeFrom="paragraph">
                  <wp:posOffset>-93345</wp:posOffset>
                </wp:positionV>
                <wp:extent cx="6496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2pt;margin-top:-7.35pt;width:51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ru-RU"/>
        </w:rPr>
      </w:pPr>
      <w:r>
        <w:rPr>
          <w:rFonts w:cs="Times New Roman" w:ascii="Times New Roman" w:hAnsi="Times New Roman"/>
          <w:b/>
          <w:sz w:val="2"/>
          <w:szCs w:val="2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25.03.2020р.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№128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укладання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обміну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будинку та земельної ділянки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документи,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який зареєстрований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буд.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обміну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будинку та земельної ділянки загальною площею 0,0582 га (державний акт на право власності на земельну ділянку від 14.06.2010 р.),</w:t>
      </w: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належн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квартиру за адресою: Дніпропетровська обл., м.Покров, ву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л.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 будинку,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 вищевказаною адресою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зареєстрован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і діти: неповнолітня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та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не порушуються при укладанні вищезазначеного договору.</w:t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Мати дітей, гр.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не заперечу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є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ст.ст. 17, 18 Закону України «Про охорону дитинства», постанов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ою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Кабінету Міністрів України від 24.09.2008 року № 866 «Питання діяльності органів опіки та піклування, пов’язаної із захистом прав дитини», ст.176 Сімейного кодексу України, підпунктом 16 пункту «б» ст. 34, статтями 40, 59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tabs>
          <w:tab w:val="clear" w:pos="709"/>
          <w:tab w:val="left" w:pos="330" w:leader="none"/>
        </w:tabs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дозвіл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на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обміну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будинку та земельної ділянки загальною площею 0,0582 га (державний акт на право власності на земельну ділянку від 14.06.2010 р.)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квартиру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color w:val="1F497D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обміну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</w:t>
      </w:r>
    </w:p>
    <w:p>
      <w:pPr>
        <w:pStyle w:val="Normal"/>
        <w:ind w:firstLine="708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.Координацію роботи щодо виконання даного рішення покласти на начальника служби у справах діте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 (Горчакову Д.В.)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Application>LibreOffice/6.1.4.2$Windows_x86 LibreOffice_project/9d0f32d1f0b509096fd65e0d4bec26ddd1938fd3</Application>
  <Pages>2</Pages>
  <Words>292</Words>
  <Characters>1910</Characters>
  <CharactersWithSpaces>2303</CharactersWithSpaces>
  <Paragraphs>19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2020-03-23T05:19:00Z</cp:lastPrinted>
  <dcterms:modified xsi:type="dcterms:W3CDTF">2020-04-06T10:58:12Z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