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CD66" w14:textId="77777777" w:rsidR="00280BA6" w:rsidRDefault="00280BA6" w:rsidP="00680EB7">
      <w:pPr>
        <w:shd w:val="clear" w:color="auto" w:fill="FFFFFF"/>
        <w:spacing w:after="0" w:line="240" w:lineRule="auto"/>
        <w:rPr>
          <w:rFonts w:eastAsia="Times New Roman" w:cstheme="minorHAnsi"/>
          <w:color w:val="1D1D1B"/>
          <w:sz w:val="26"/>
          <w:szCs w:val="26"/>
          <w:lang w:val="uk-UA" w:eastAsia="ru-RU"/>
        </w:rPr>
      </w:pPr>
      <w:r>
        <w:rPr>
          <w:noProof/>
        </w:rPr>
        <w:drawing>
          <wp:inline distT="0" distB="0" distL="0" distR="0" wp14:anchorId="076BDBC7" wp14:editId="67E535E7">
            <wp:extent cx="5623560" cy="22021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9A900" w14:textId="77777777" w:rsidR="00280BA6" w:rsidRDefault="00280BA6" w:rsidP="00680EB7">
      <w:pPr>
        <w:shd w:val="clear" w:color="auto" w:fill="FFFFFF"/>
        <w:spacing w:after="0" w:line="240" w:lineRule="auto"/>
        <w:rPr>
          <w:rFonts w:eastAsia="Times New Roman" w:cstheme="minorHAnsi"/>
          <w:color w:val="1D1D1B"/>
          <w:sz w:val="26"/>
          <w:szCs w:val="26"/>
          <w:lang w:val="uk-UA" w:eastAsia="ru-RU"/>
        </w:rPr>
      </w:pPr>
    </w:p>
    <w:p w14:paraId="488BE6A1" w14:textId="77777777" w:rsidR="007E76D8" w:rsidRDefault="004244CD" w:rsidP="003503D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1D1B"/>
          <w:sz w:val="24"/>
          <w:szCs w:val="24"/>
          <w:lang w:val="uk-UA" w:eastAsia="ru-RU"/>
        </w:rPr>
      </w:pPr>
      <w:r>
        <w:rPr>
          <w:rFonts w:eastAsia="Times New Roman" w:cstheme="minorHAnsi"/>
          <w:color w:val="1D1D1B"/>
          <w:sz w:val="26"/>
          <w:szCs w:val="26"/>
          <w:lang w:val="uk-UA" w:eastAsia="ru-RU"/>
        </w:rPr>
        <w:tab/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>Міністерство розвитку громад та територій України спільно з ГО «ЛУН Місто» презентували практичний посібник «Як забезпечити доступність будівель і споруд для маломобільних груп населення? 10 простих кроків».</w:t>
      </w:r>
    </w:p>
    <w:p w14:paraId="18D1188E" w14:textId="7E5AEE60" w:rsidR="00280BA6" w:rsidRDefault="008E4225" w:rsidP="007E76D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1D1B"/>
          <w:sz w:val="24"/>
          <w:szCs w:val="24"/>
          <w:lang w:val="uk-UA" w:eastAsia="ru-RU"/>
        </w:rPr>
      </w:pPr>
      <w:r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ab/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Посібник розроблено в межах інформаційно-просвітницької кампанії «Держава без бар’єрів» та презентовано </w:t>
      </w:r>
      <w:r w:rsidR="00280BA6"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на </w:t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 засіданн</w:t>
      </w:r>
      <w:r w:rsidR="00280BA6"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>і</w:t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 Національної ради </w:t>
      </w:r>
      <w:proofErr w:type="spellStart"/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>безбар’єрності</w:t>
      </w:r>
      <w:proofErr w:type="spellEnd"/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 </w:t>
      </w:r>
      <w:r w:rsidR="00280BA6"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 під головуванням Прем’єр-міністра України Юлії Свириденко.</w:t>
      </w:r>
    </w:p>
    <w:p w14:paraId="5967157F" w14:textId="77777777" w:rsidR="007E76D8" w:rsidRDefault="004244CD" w:rsidP="007E76D8">
      <w:pPr>
        <w:shd w:val="clear" w:color="auto" w:fill="FFFFFF"/>
        <w:spacing w:after="0" w:line="240" w:lineRule="auto"/>
        <w:rPr>
          <w:rFonts w:eastAsia="Times New Roman" w:cstheme="minorHAnsi"/>
          <w:color w:val="1D1D1B"/>
          <w:sz w:val="24"/>
          <w:szCs w:val="24"/>
          <w:lang w:val="uk-UA" w:eastAsia="ru-RU"/>
        </w:rPr>
      </w:pPr>
      <w:r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ab/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>Його мета — надати громадам, бізнесу і всім, хто працює над формуванням доступного середовища, простий і практичний інструмент для впровадження базових принципів фізичної доступності будівель і споруд.</w:t>
      </w:r>
    </w:p>
    <w:p w14:paraId="7F35DA89" w14:textId="0177CFDE" w:rsidR="00680EB7" w:rsidRPr="00680EB7" w:rsidRDefault="004244CD" w:rsidP="003503D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1D1B"/>
          <w:sz w:val="24"/>
          <w:szCs w:val="24"/>
          <w:lang w:val="uk-UA" w:eastAsia="ru-RU"/>
        </w:rPr>
      </w:pPr>
      <w:r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ab/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Матеріал створено на основі чинних державних будівельних норм із урахуванням сучасних вимог до </w:t>
      </w:r>
      <w:proofErr w:type="spellStart"/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>інклюзивності</w:t>
      </w:r>
      <w:proofErr w:type="spellEnd"/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. Основний акцент зроблено на простих, зрозумілих та практичних рішеннях, які можуть бути застосовані під час </w:t>
      </w:r>
      <w:proofErr w:type="spellStart"/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>проєктування</w:t>
      </w:r>
      <w:proofErr w:type="spellEnd"/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, реконструкції або адаптації </w:t>
      </w:r>
      <w:r w:rsidR="00280BA6"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об’єктів та </w:t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>просторів.</w:t>
      </w:r>
    </w:p>
    <w:p w14:paraId="2E8BF6B0" w14:textId="6325CEFF" w:rsidR="00680EB7" w:rsidRPr="00680EB7" w:rsidRDefault="004244CD" w:rsidP="007E76D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D1D1B"/>
          <w:sz w:val="24"/>
          <w:szCs w:val="24"/>
          <w:lang w:val="uk-UA" w:eastAsia="ru-RU"/>
        </w:rPr>
      </w:pPr>
      <w:r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ab/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Посібник охоплює ключові елементи фізичної доступності — від шляхів руху до будівлі та </w:t>
      </w:r>
      <w:proofErr w:type="spellStart"/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>безбар’єрного</w:t>
      </w:r>
      <w:proofErr w:type="spellEnd"/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 xml:space="preserve"> входу до внутрішнього простору, навігації, безпечного пересування та облаштування приміщень. Його головна цінність — у практичному підході: складні нормативні вимоги подані простою та зрозумілою мовою, що дозволяє використовувати матеріал як базовий орієнтир для власників і управителів об’єктів.</w:t>
      </w:r>
    </w:p>
    <w:p w14:paraId="4A837DDA" w14:textId="5CBF1D65" w:rsidR="00680EB7" w:rsidRPr="007E76D8" w:rsidRDefault="004244CD" w:rsidP="007E76D8">
      <w:pPr>
        <w:pStyle w:val="a6"/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ab/>
      </w:r>
      <w:r w:rsidR="00680EB7" w:rsidRPr="007E76D8">
        <w:rPr>
          <w:rFonts w:cstheme="minorHAnsi"/>
          <w:sz w:val="24"/>
          <w:szCs w:val="24"/>
          <w:lang w:val="uk-UA" w:eastAsia="ru-RU"/>
        </w:rPr>
        <w:t>Посібник містить 10 практичних кроків:</w:t>
      </w:r>
    </w:p>
    <w:p w14:paraId="317FEBB6" w14:textId="77777777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>забезпечення доступності шляхів руху до будівлі;</w:t>
      </w:r>
    </w:p>
    <w:p w14:paraId="138284F4" w14:textId="77777777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>облаштування доступних пішохідних доріжок;</w:t>
      </w:r>
    </w:p>
    <w:p w14:paraId="11334455" w14:textId="77777777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 xml:space="preserve">створення </w:t>
      </w:r>
      <w:proofErr w:type="spellStart"/>
      <w:r w:rsidRPr="007E76D8">
        <w:rPr>
          <w:rFonts w:cstheme="minorHAnsi"/>
          <w:sz w:val="24"/>
          <w:szCs w:val="24"/>
          <w:lang w:val="uk-UA" w:eastAsia="ru-RU"/>
        </w:rPr>
        <w:t>паркувальних</w:t>
      </w:r>
      <w:proofErr w:type="spellEnd"/>
      <w:r w:rsidRPr="007E76D8">
        <w:rPr>
          <w:rFonts w:cstheme="minorHAnsi"/>
          <w:sz w:val="24"/>
          <w:szCs w:val="24"/>
          <w:lang w:val="uk-UA" w:eastAsia="ru-RU"/>
        </w:rPr>
        <w:t xml:space="preserve"> місць для людей з інвалідністю;</w:t>
      </w:r>
    </w:p>
    <w:p w14:paraId="76D1337D" w14:textId="77777777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 xml:space="preserve">облаштування </w:t>
      </w:r>
      <w:proofErr w:type="spellStart"/>
      <w:r w:rsidRPr="007E76D8">
        <w:rPr>
          <w:rFonts w:cstheme="minorHAnsi"/>
          <w:sz w:val="24"/>
          <w:szCs w:val="24"/>
          <w:lang w:val="uk-UA" w:eastAsia="ru-RU"/>
        </w:rPr>
        <w:t>безбар’єрного</w:t>
      </w:r>
      <w:proofErr w:type="spellEnd"/>
      <w:r w:rsidRPr="007E76D8">
        <w:rPr>
          <w:rFonts w:cstheme="minorHAnsi"/>
          <w:sz w:val="24"/>
          <w:szCs w:val="24"/>
          <w:lang w:val="uk-UA" w:eastAsia="ru-RU"/>
        </w:rPr>
        <w:t xml:space="preserve"> входу до будівлі;</w:t>
      </w:r>
    </w:p>
    <w:p w14:paraId="52B12E9B" w14:textId="77777777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>адаптація сходів;</w:t>
      </w:r>
    </w:p>
    <w:p w14:paraId="7255D53C" w14:textId="77777777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>встановлення доступних дверей;</w:t>
      </w:r>
    </w:p>
    <w:p w14:paraId="61E25256" w14:textId="77777777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>організація безпечних шляхів руху всередині будівлі;</w:t>
      </w:r>
    </w:p>
    <w:p w14:paraId="427D8AAE" w14:textId="77777777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>впровадження тактильної та візуальної навігації;</w:t>
      </w:r>
    </w:p>
    <w:p w14:paraId="653DFC17" w14:textId="77777777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>облаштування доступних приміщень для надання послуг;</w:t>
      </w:r>
    </w:p>
    <w:p w14:paraId="7850536E" w14:textId="7726CED9" w:rsidR="00680EB7" w:rsidRPr="007E76D8" w:rsidRDefault="00680EB7" w:rsidP="007E76D8">
      <w:pPr>
        <w:pStyle w:val="a6"/>
        <w:numPr>
          <w:ilvl w:val="0"/>
          <w:numId w:val="2"/>
        </w:numPr>
        <w:jc w:val="both"/>
        <w:rPr>
          <w:rFonts w:cstheme="minorHAnsi"/>
          <w:sz w:val="24"/>
          <w:szCs w:val="24"/>
          <w:lang w:val="uk-UA" w:eastAsia="ru-RU"/>
        </w:rPr>
      </w:pPr>
      <w:r w:rsidRPr="007E76D8">
        <w:rPr>
          <w:rFonts w:cstheme="minorHAnsi"/>
          <w:sz w:val="24"/>
          <w:szCs w:val="24"/>
          <w:lang w:val="uk-UA" w:eastAsia="ru-RU"/>
        </w:rPr>
        <w:t>створення санітарно-гігієнічних приміщень для МГН.</w:t>
      </w:r>
    </w:p>
    <w:p w14:paraId="26DA5F15" w14:textId="77777777" w:rsidR="00680EB7" w:rsidRPr="007E76D8" w:rsidRDefault="00680EB7" w:rsidP="007E76D8">
      <w:pPr>
        <w:pStyle w:val="a6"/>
        <w:jc w:val="both"/>
        <w:rPr>
          <w:rFonts w:cstheme="minorHAnsi"/>
          <w:sz w:val="24"/>
          <w:szCs w:val="24"/>
          <w:lang w:val="uk-UA" w:eastAsia="ru-RU"/>
        </w:rPr>
      </w:pPr>
    </w:p>
    <w:p w14:paraId="03AFDE07" w14:textId="77777777" w:rsidR="00280BA6" w:rsidRPr="007E76D8" w:rsidRDefault="00280BA6" w:rsidP="007E76D8">
      <w:pPr>
        <w:spacing w:line="240" w:lineRule="auto"/>
        <w:jc w:val="both"/>
        <w:rPr>
          <w:rFonts w:eastAsia="Times New Roman" w:cstheme="minorHAnsi"/>
          <w:color w:val="1D1D1B"/>
          <w:sz w:val="24"/>
          <w:szCs w:val="24"/>
          <w:lang w:val="uk-UA" w:eastAsia="ru-RU"/>
        </w:rPr>
      </w:pPr>
      <w:r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>Ознайомитись з посібником можна за  п</w:t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>осилання</w:t>
      </w:r>
      <w:r w:rsidRPr="007E76D8">
        <w:rPr>
          <w:rFonts w:eastAsia="Times New Roman" w:cstheme="minorHAnsi"/>
          <w:color w:val="1D1D1B"/>
          <w:sz w:val="24"/>
          <w:szCs w:val="24"/>
          <w:lang w:val="uk-UA" w:eastAsia="ru-RU"/>
        </w:rPr>
        <w:t>м</w:t>
      </w:r>
      <w:r w:rsidR="00680EB7" w:rsidRPr="00680EB7">
        <w:rPr>
          <w:rFonts w:eastAsia="Times New Roman" w:cstheme="minorHAnsi"/>
          <w:color w:val="1D1D1B"/>
          <w:sz w:val="24"/>
          <w:szCs w:val="24"/>
          <w:lang w:val="uk-UA" w:eastAsia="ru-RU"/>
        </w:rPr>
        <w:t>: </w:t>
      </w:r>
    </w:p>
    <w:p w14:paraId="3404CD8A" w14:textId="5F51D262" w:rsidR="005C53B1" w:rsidRPr="007E76D8" w:rsidRDefault="000111D9" w:rsidP="007E76D8">
      <w:pPr>
        <w:spacing w:line="240" w:lineRule="auto"/>
        <w:jc w:val="both"/>
        <w:rPr>
          <w:rFonts w:eastAsia="Times New Roman" w:cstheme="minorHAnsi"/>
          <w:color w:val="16406C"/>
          <w:sz w:val="24"/>
          <w:szCs w:val="24"/>
          <w:u w:val="single"/>
          <w:bdr w:val="none" w:sz="0" w:space="0" w:color="auto" w:frame="1"/>
          <w:lang w:val="uk-UA" w:eastAsia="ru-RU"/>
        </w:rPr>
      </w:pPr>
      <w:hyperlink r:id="rId6" w:history="1">
        <w:r w:rsidRPr="00680EB7">
          <w:rPr>
            <w:rStyle w:val="a4"/>
            <w:rFonts w:eastAsia="Times New Roman" w:cstheme="minorHAnsi"/>
            <w:sz w:val="24"/>
            <w:szCs w:val="24"/>
            <w:bdr w:val="none" w:sz="0" w:space="0" w:color="auto" w:frame="1"/>
            <w:lang w:val="uk-UA" w:eastAsia="ru-RU"/>
          </w:rPr>
          <w:t>https://mindev.gov.ua/storage/app/sites/1/uploaded-files/buklet-mdct-fizicna-bezbarjernist-a5-v6.pdf </w:t>
        </w:r>
      </w:hyperlink>
    </w:p>
    <w:p w14:paraId="3A4DBC7D" w14:textId="77777777" w:rsidR="007E76D8" w:rsidRPr="007E76D8" w:rsidRDefault="007E76D8" w:rsidP="007E76D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uk-UA" w:eastAsia="ru-RU"/>
        </w:rPr>
      </w:pPr>
      <w:r w:rsidRPr="007E76D8">
        <w:rPr>
          <w:rFonts w:eastAsia="Times New Roman" w:cstheme="minorHAnsi"/>
          <w:sz w:val="24"/>
          <w:szCs w:val="24"/>
          <w:lang w:val="uk-UA" w:eastAsia="ru-RU"/>
        </w:rPr>
        <w:t xml:space="preserve">Начальник управління праці та </w:t>
      </w:r>
    </w:p>
    <w:p w14:paraId="5344E226" w14:textId="47D6A022" w:rsidR="007E76D8" w:rsidRPr="007E76D8" w:rsidRDefault="007E76D8" w:rsidP="007E76D8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uk-UA" w:eastAsia="ru-RU"/>
        </w:rPr>
      </w:pPr>
      <w:r w:rsidRPr="007E76D8">
        <w:rPr>
          <w:rFonts w:eastAsia="Times New Roman" w:cstheme="minorHAnsi"/>
          <w:sz w:val="24"/>
          <w:szCs w:val="24"/>
          <w:lang w:val="uk-UA" w:eastAsia="ru-RU"/>
        </w:rPr>
        <w:t xml:space="preserve">соціального захисту населення                </w:t>
      </w:r>
      <w:r>
        <w:rPr>
          <w:rFonts w:eastAsia="Times New Roman" w:cstheme="minorHAnsi"/>
          <w:sz w:val="24"/>
          <w:szCs w:val="24"/>
          <w:lang w:val="uk-UA" w:eastAsia="ru-RU"/>
        </w:rPr>
        <w:t xml:space="preserve"> </w:t>
      </w:r>
      <w:r w:rsidRPr="007E76D8">
        <w:rPr>
          <w:rFonts w:eastAsia="Times New Roman" w:cstheme="minorHAnsi"/>
          <w:sz w:val="24"/>
          <w:szCs w:val="24"/>
          <w:lang w:val="uk-UA" w:eastAsia="ru-RU"/>
        </w:rPr>
        <w:t xml:space="preserve">                   Тетяна ІГНАТЮК</w:t>
      </w:r>
    </w:p>
    <w:p w14:paraId="6100CFEB" w14:textId="77777777" w:rsidR="007E76D8" w:rsidRPr="007E76D8" w:rsidRDefault="007E76D8">
      <w:pPr>
        <w:rPr>
          <w:rFonts w:cstheme="minorHAnsi"/>
          <w:sz w:val="24"/>
          <w:szCs w:val="24"/>
          <w:lang w:val="uk-UA"/>
        </w:rPr>
      </w:pPr>
    </w:p>
    <w:sectPr w:rsidR="007E76D8" w:rsidRPr="007E76D8" w:rsidSect="007E76D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E069E"/>
    <w:multiLevelType w:val="multilevel"/>
    <w:tmpl w:val="2A80C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6D2F79"/>
    <w:multiLevelType w:val="hybridMultilevel"/>
    <w:tmpl w:val="B760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B7"/>
    <w:rsid w:val="000111D9"/>
    <w:rsid w:val="00280BA6"/>
    <w:rsid w:val="00301E1D"/>
    <w:rsid w:val="003503D7"/>
    <w:rsid w:val="00365451"/>
    <w:rsid w:val="004244CD"/>
    <w:rsid w:val="005C53B1"/>
    <w:rsid w:val="00680EB7"/>
    <w:rsid w:val="006E3172"/>
    <w:rsid w:val="007E76D8"/>
    <w:rsid w:val="008E4225"/>
    <w:rsid w:val="00F2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70D1"/>
  <w15:chartTrackingRefBased/>
  <w15:docId w15:val="{17DDCB76-B474-4378-8309-D6F004809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80EB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280BA6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4244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2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dev.gov.ua/storage/app/sites/1/uploaded-files/buklet-mdct-fizicna-bezbarjernist-a5-v6.pdf&#160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STRIHA</dc:creator>
  <cp:keywords/>
  <dc:description/>
  <cp:lastModifiedBy>STRIHA</cp:lastModifiedBy>
  <cp:revision>7</cp:revision>
  <dcterms:created xsi:type="dcterms:W3CDTF">2026-06-17T10:45:00Z</dcterms:created>
  <dcterms:modified xsi:type="dcterms:W3CDTF">2026-06-17T11:02:00Z</dcterms:modified>
</cp:coreProperties>
</file>