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76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ru-RU" w:eastAsia="zh-CN" w:bidi="ar-SA"/>
        </w:rPr>
        <w:t>28.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ru-RU" w:eastAsia="zh-CN" w:bidi="ar-SA"/>
        </w:rPr>
        <w:t>10.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ru-RU"/>
        </w:rPr>
        <w:t>2022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року </w:t>
      </w:r>
    </w:p>
    <w:tbl>
      <w:tblPr>
        <w:tblW w:w="9982" w:type="dxa"/>
        <w:jc w:val="left"/>
        <w:tblInd w:w="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3"/>
        <w:gridCol w:w="663"/>
        <w:gridCol w:w="7154"/>
        <w:gridCol w:w="1541"/>
      </w:tblGrid>
      <w:tr>
        <w:trPr>
          <w:trHeight w:val="390" w:hRule="atLeast"/>
        </w:trPr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</w:r>
          </w:p>
        </w:tc>
        <w:tc>
          <w:tcPr>
            <w:tcW w:w="7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Назва рішення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285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Про забезпечення соціальних державних гарантій у період дії воєнного стану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Ігнатюк Т.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286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FFFFFF" w:val="clear"/>
                <w:lang w:val="uk-UA" w:eastAsia="ru-RU" w:bidi="hi-IN"/>
              </w:rPr>
              <w:t xml:space="preserve">Про скасування рішення виконкому Покровської міської ради № 210 від 22.05.2019 «Про затвердження Положення про міську комісію по визначенню фактичного місця проживання пільговика в новій редакції» та рішення виконкому Покровської міської ради № 301 від 26.07.2021 «Про внесення змін до рішення виконкому Покровської міської ради № 210 від 22.05.2019 «Про затвердження Положення про міську комісію по визначенню фактичного місця проживання пільговика в новій редакції»»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Ігнатюк Т.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287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2022 рік у новій редакції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288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погодження Фінансового плану комунального підприємства «Центральна міська лікарня Покровської міської ради Дніпропетровської області» на 2022 рік (у новій редакції)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289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43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встановлення опіки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(ХХХХ).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290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bidi w:val="0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виведення вихованця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з дитячого будинку сімейного типу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(ХХХХ).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291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bidi w:val="0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6"/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влаштування дитини на повне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uk-UA" w:eastAsia="ru-RU" w:bidi="ar-SA"/>
              </w:rPr>
              <w:t>державне утримання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6"/>
                <w:szCs w:val="26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uk-UA" w:eastAsia="ru-RU" w:bidi="ar-SA"/>
              </w:rPr>
              <w:t>).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292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u w:val="none"/>
                <w:lang w:eastAsia="ru-RU" w:bidi="ar-SA"/>
              </w:rPr>
              <w:t xml:space="preserve">Про зміну статусу дитини, позбавленої батьківського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lang w:val="uk-UA" w:eastAsia="ru-RU" w:bidi="ar-SA"/>
              </w:rPr>
              <w:t>піклування на статус дитини-сироти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6"/>
                <w:szCs w:val="26"/>
                <w:u w:val="none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lang w:val="uk-UA" w:eastAsia="ru-RU" w:bidi="ar-SA"/>
              </w:rPr>
              <w:t>).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293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lang w:val="uk-UA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ро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встановлення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ru-RU" w:bidi="ar-SA"/>
              </w:rPr>
              <w:t>порядку побачення з дитиною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lang w:val="uk-UA" w:eastAsia="ru-RU" w:bidi="ar-SA"/>
              </w:rPr>
              <w:t xml:space="preserve"> (ХХХХ)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294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ru-RU" w:eastAsia="ru-RU" w:bidi="ar-SA"/>
              </w:rPr>
              <w:t>встановлення порядку побачення з дитиною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(ХХХХ)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295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визначення місця проживання малолітнього ХХХХ ХХХХ ХХХХ, ХХ.ХХ.ХХХХ року народження з батьком, гр. ХХХХ ХХХХ ХХХХ, ХХ.ХХ.ХХХХ року народження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296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продовження строку перебування дітей у сім'ї патронатного вихователя (ХХХХ)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297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припинення функціонування патронатної сім'ї (ХХХХ)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298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надання дозволу на укладання договору купівлі-продажу будинку (ХХХХ)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299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eastAsia="ru-RU" w:bidi="ar-SA"/>
              </w:rPr>
              <w:t xml:space="preserve">Про затвердження порядку присвоєння другого та третього спортивних розрядів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300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затвердження інформаційної та технологічної карток адміністративної послуги відділу молоді та спорту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301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внесення змін до рішення виконавчого комітету Покровської міської ради від 22.09.2022р. № 249/06-53-22 «Про затвердження штатних розписів працівників закладів освіти міста»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302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затвердження кошторисної частини проектної документації за робочим проектом «Реконструкція системи опалення в частині встановлення резервного джерела теплозабезпечення Комунального спеціального закладу дошкільної освіти №5 «Червона Шапочка» (ясла-садок) за адресою: вул. Партизанська, 37, м. Покров, Дніпропетровської області»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303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затвердження Порядку роботи з гуманітарною допомогою на території Покровської міської територіальної громади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425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304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груп тимчасових споруд ТОВ «Укртехресурс»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305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торговельного кіоску в районі торгово-громадського центру на вул. Соборній ФОП Пушкаренко Р.М.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306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торговельного павільйону в районі житлового будинку № 27 на вул. Джонсона Бориса ФОП Онікієнко Т.С.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307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продовження дії дозволу на розміщення рекламних конструкцій - білбордів в м. Покров департаменту інформаційної діяльності та комунікацій з громадськістю Дніпропетровської обласної державної адміністрації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308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Про погодження проведення реконструкції квартири № ХХ в житловому будинку № ХХ на вул. ХХХХ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309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зняття громадян з квартирної черги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Маглиш А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310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продовження строку дії договору найму соціального житла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Маглиш А.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311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погодження штатного розпису Покровського міського комунального підприємства «Добробут» з 01.10.2022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312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FFFFFF" w:val="clear"/>
                <w:lang w:val="uk-UA" w:eastAsia="ru-RU" w:bidi="hi-IN"/>
              </w:rPr>
              <w:t xml:space="preserve">Про погодження штатного розпису Покровського міського комунального підприємства «ЖИТЛКОМСЕРВІС» з 01 жовтня 2022 року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313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встановлення зручного для населення режиму роботи магазину “Продукти”, який розташований за адресою:              вул. Чіатурська, буд. 1, м. Покров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314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передачу в тимчасове користування частини нежитлової будівлі, розташованої за адресою: вулиця Магістральна, 34,              м. Покров, Нікопольський район, Дніпропетровська область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315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316</w:t>
            </w:r>
          </w:p>
        </w:tc>
        <w:tc>
          <w:tcPr>
            <w:tcW w:w="71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76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надання матеріальної грошової допомоги </w:t>
            </w:r>
          </w:p>
          <w:p>
            <w:pPr>
              <w:pStyle w:val="Style19"/>
              <w:widowControl w:val="false"/>
              <w:spacing w:lineRule="auto" w:line="276"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С. </w:t>
            </w:r>
          </w:p>
        </w:tc>
      </w:tr>
    </w:tbl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677" w:right="62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2.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3.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4.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5.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6.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7.%8.%9."/>
      <w:lvlJc w:val="left"/>
      <w:pPr>
        <w:tabs>
          <w:tab w:val="num" w:pos="3770"/>
        </w:tabs>
        <w:ind w:left="377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8"/>
    <w:next w:val="Style19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2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Strong"/>
    <w:qFormat/>
    <w:rPr>
      <w:b/>
      <w:bCs/>
    </w:rPr>
  </w:style>
  <w:style w:type="character" w:styleId="11">
    <w:name w:val="Строгий1"/>
    <w:qFormat/>
    <w:rPr>
      <w:b/>
      <w:bCs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character" w:styleId="12">
    <w:name w:val="Основной шрифт абзаца1"/>
    <w:qFormat/>
    <w:rPr/>
  </w:style>
  <w:style w:type="character" w:styleId="Rvts9">
    <w:name w:val="rvts9"/>
    <w:qFormat/>
    <w:rPr/>
  </w:style>
  <w:style w:type="character" w:styleId="Style16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7">
    <w:name w:val="Hyperlink"/>
    <w:qFormat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4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Обычный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</TotalTime>
  <Application>LibreOffice/7.4.3.2$Windows_X86_64 LibreOffice_project/1048a8393ae2eeec98dff31b5c133c5f1d08b890</Application>
  <AppVersion>15.0000</AppVersion>
  <Pages>3</Pages>
  <Words>658</Words>
  <Characters>4246</Characters>
  <CharactersWithSpaces>4838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2023-04-25T09:49:45Z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