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рішень чергового засідання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20.11.2025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W w:w="10257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7095"/>
        <w:gridCol w:w="2712"/>
      </w:tblGrid>
      <w:tr>
        <w:trPr>
          <w:trHeight w:val="72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8"/>
                <w:szCs w:val="28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zh-CN" w:bidi="hi-IN"/>
              </w:rPr>
              <w:t>Про стан виконання Комплексної програми соціального захисту населення Покровської міської територіальної громади на 2024–2028 роки у 2025 році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zh-CN" w:bidi="hi-IN"/>
              </w:rPr>
              <w:t>Про погодження структури і штатної чисельності працівників відділу культури, туризму, національностей і релігій виконавчого комітету Покровської міської ради Дніпропетровської області на 2026 рік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  <w:lang w:val="uk-UA"/>
              </w:rPr>
              <w:t>Про дозвіл на розробку проєктно-кошторисної документації на «Капітальний ремонт покрівлі житлового будинку № 11 по вул. Європейська в м.Покров Нікопольського району Дніпропетровської області»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Покровської міської ради від 24.05.2023 №190/06-53-23 «Про створення Комісії з розгляду заяв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 на території Покровської міської територіальної громади»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/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протоколу про результати електронного аукціону на продовження договору оренди комунального майна №LLP001-UA-20251021-47833 від 10.11.2025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умов продажу об’єкта малої приватизації - вбудованого нежитлового приміщення, розташованого по вулиці Героїв-рятувальників, будинок 18, приміщення 3, м.Покров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/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1B1B1B"/>
                <w:sz w:val="28"/>
                <w:szCs w:val="28"/>
                <w:shd w:fill="auto" w:val="clear"/>
                <w:lang w:val="uk-UA"/>
              </w:rPr>
              <w:t>Про перелік видів громадських робіт для безробітних осіб на     2026 рік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внесення змін до рішення виконавчого комітету Покровської міської ради від 24.09.2025 № 391/06-53-25 “Про затвердження штатних розписів працівників закладів освіти міста з 01.09.2025»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Про погодження Фінансового плану комунального підприємства «Центральна міська лікарня Покровської міської ради Дніпропетровської області» на 2025 рік у новій редакції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Про погодження Фінансового плану комунального некомерційного підприємства «Центр первинної медико-санітарної допомоги Покровської міської ради Дніпропетровської області» на 2025 рік у новій редакції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Про погодження штатного розпису комунального некомерційного підприємства «Центр первинної медико-санітарної допомоги Покровської міської ради Дніпропетровської області» на 2025 рік у новій редакції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1340" w:leader="none"/>
              </w:tabs>
              <w:suppressAutoHyphens w:val="true"/>
              <w:bidi w:val="0"/>
              <w:spacing w:lineRule="auto" w:line="240" w:before="0" w:after="0"/>
              <w:ind w:right="-1" w:hang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 xml:space="preserve">Про погодження проведення реконструкції квартири № 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>хх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 xml:space="preserve"> в житловому будинку №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>х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 xml:space="preserve"> на вул. 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>ХХ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 xml:space="preserve"> Матковському А.М.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11340" w:leader="none"/>
              </w:tabs>
              <w:suppressAutoHyphens w:val="true"/>
              <w:spacing w:lineRule="auto" w:line="240"/>
              <w:ind w:right="-1" w:hanging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val="uk-UA"/>
              </w:rPr>
              <w:t>Про погодження користування місцем розміщення тимчасової споруди у господарській зоні житлового кварталу №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val="uk-UA"/>
              </w:rPr>
              <w:t>хх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val="uk-UA"/>
              </w:rPr>
              <w:t xml:space="preserve"> Якушину Ю.І.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1340" w:leader="none"/>
              </w:tabs>
              <w:suppressAutoHyphens w:val="true"/>
              <w:bidi w:val="0"/>
              <w:spacing w:lineRule="auto" w:line="240"/>
              <w:ind w:right="-1" w:hang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будинку №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>х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 xml:space="preserve"> на вул. 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>ХХХХ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 xml:space="preserve"> Леонтьєву О.М.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1340" w:leader="none"/>
              </w:tabs>
              <w:suppressAutoHyphens w:val="true"/>
              <w:bidi w:val="0"/>
              <w:ind w:right="-1" w:hang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 xml:space="preserve">Про погодження продовження терміну користування місцем розміщення тимчасової споруди в районі існуючих гаражів на вул. 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>ХХХХ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 xml:space="preserve"> Ужбіді Т.В.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1340" w:leader="none"/>
              </w:tabs>
              <w:suppressAutoHyphens w:val="true"/>
              <w:bidi w:val="0"/>
              <w:ind w:right="-1" w:hang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будинку №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>хх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 xml:space="preserve"> на вул. 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>ХХХХ</w:t>
            </w:r>
            <w:r>
              <w:rPr>
                <w:rFonts w:cs="Times New Roman"/>
                <w:sz w:val="28"/>
                <w:szCs w:val="28"/>
                <w:shd w:fill="auto" w:val="clear"/>
                <w:lang w:val="uk-UA"/>
              </w:rPr>
              <w:t xml:space="preserve"> Приходько Л.В.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1340" w:leader="none"/>
              </w:tabs>
              <w:bidi w:val="0"/>
              <w:ind w:right="-1" w:hang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uk-UA" w:eastAsia="zh-CN" w:bidi="ar-SA"/>
              </w:rPr>
              <w:t xml:space="preserve">Про погодження продовження терміну користування місцем розміщення тимчасової споруди біля будинку № </w:t>
            </w:r>
            <w:r>
              <w:rPr>
                <w:rFonts w:cs="Times New Roman"/>
                <w:sz w:val="28"/>
                <w:szCs w:val="28"/>
                <w:shd w:fill="auto" w:val="clear"/>
                <w:lang w:val="uk-UA" w:eastAsia="zh-CN" w:bidi="ar-SA"/>
              </w:rPr>
              <w:t>х</w:t>
            </w:r>
            <w:r>
              <w:rPr>
                <w:rFonts w:cs="Times New Roman"/>
                <w:sz w:val="28"/>
                <w:szCs w:val="28"/>
                <w:shd w:fill="auto" w:val="clear"/>
                <w:lang w:val="uk-UA" w:eastAsia="zh-CN" w:bidi="ar-SA"/>
              </w:rPr>
              <w:t xml:space="preserve"> на вул. </w:t>
            </w:r>
            <w:r>
              <w:rPr>
                <w:rFonts w:cs="Times New Roman"/>
                <w:sz w:val="28"/>
                <w:szCs w:val="28"/>
                <w:shd w:fill="auto" w:val="clear"/>
                <w:lang w:val="uk-UA" w:eastAsia="zh-CN" w:bidi="ar-SA"/>
              </w:rPr>
              <w:t>ХХХХ</w:t>
            </w:r>
            <w:r>
              <w:rPr>
                <w:rFonts w:cs="Times New Roman"/>
                <w:sz w:val="28"/>
                <w:szCs w:val="28"/>
                <w:shd w:fill="auto" w:val="clear"/>
                <w:lang w:val="uk-UA" w:eastAsia="zh-CN" w:bidi="ar-SA"/>
              </w:rPr>
              <w:t xml:space="preserve"> Кірілловій Т.І.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/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1340" w:leader="none"/>
              </w:tabs>
              <w:bidi w:val="0"/>
              <w:ind w:right="-1" w:hang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uk-UA" w:eastAsia="zh-CN" w:bidi="ar-SA"/>
              </w:rPr>
              <w:t xml:space="preserve">Про погодження продовження терміну користування місцем розміщення тимчасової споруди біля будинку № </w:t>
            </w:r>
            <w:r>
              <w:rPr>
                <w:rFonts w:cs="Times New Roman"/>
                <w:sz w:val="28"/>
                <w:szCs w:val="28"/>
                <w:shd w:fill="auto" w:val="clear"/>
                <w:lang w:val="uk-UA" w:eastAsia="zh-CN" w:bidi="ar-SA"/>
              </w:rPr>
              <w:t>х</w:t>
            </w:r>
            <w:r>
              <w:rPr>
                <w:rFonts w:cs="Times New Roman"/>
                <w:sz w:val="28"/>
                <w:szCs w:val="28"/>
                <w:shd w:fill="auto" w:val="clear"/>
                <w:lang w:val="uk-UA" w:eastAsia="zh-CN" w:bidi="ar-SA"/>
              </w:rPr>
              <w:t xml:space="preserve"> на вул. </w:t>
            </w:r>
            <w:r>
              <w:rPr>
                <w:rFonts w:cs="Times New Roman"/>
                <w:sz w:val="28"/>
                <w:szCs w:val="28"/>
                <w:shd w:fill="auto" w:val="clear"/>
                <w:lang w:val="uk-UA" w:eastAsia="zh-CN" w:bidi="ar-SA"/>
              </w:rPr>
              <w:t>ХХХХ</w:t>
            </w:r>
            <w:r>
              <w:rPr>
                <w:rFonts w:cs="Times New Roman"/>
                <w:sz w:val="28"/>
                <w:szCs w:val="28"/>
                <w:shd w:fill="auto" w:val="clear"/>
                <w:lang w:val="uk-UA" w:eastAsia="zh-CN" w:bidi="ar-SA"/>
              </w:rPr>
              <w:t xml:space="preserve"> Москальцю В.І.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/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uk-UA"/>
              </w:rPr>
              <w:t>Про погодження продовження терміну користування місцем розміщення групи тимчасових споруд біля будинку № 29 на вул. Джонсона ТОВ «Прем'єр»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uk-UA"/>
              </w:rPr>
              <w:t>Про погодження продовження терміну користування місцем розміщення групи тимчасових споруд біля будинку № 4 на вул. Героїв України ТОВ «Прем'єр»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uk-UA"/>
              </w:rPr>
              <w:t>Про погодження продовження терміну користування місцем розміщення групи тимчасових споруд біля будинку № 10 на вул. Тикви ТОВ «Промстройпрогрес»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uppressAutoHyphens w:val="tru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автобусної зупинки «Пляжна» на вул. Шляховій ФОП Проценко З.Б.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uppressAutoHyphens w:val="tru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будинку № 27 на вул. Джонсона ФОП Онікієнко Т.С.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uppressAutoHyphens w:val="true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будинку № 46 на вул. Сірка у с. Шолохове ФОП Єременко Н.Л.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val="uk-UA"/>
              </w:rPr>
              <w:t>Про переукладання договору найму житлового приміщення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взяття на облік громадян, які потребують поліпшення житлових умов 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взяття на облік громадян, які потребують поліпшення житлових умов 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227" w:hanging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Про зняття громадян з квартирної черги.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227" w:hanging="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8"/>
                <w:szCs w:val="28"/>
                <w:shd w:fill="auto" w:val="clear"/>
                <w:lang w:val="uk-UA" w:eastAsia="zh-CN" w:bidi="hi-IN"/>
              </w:rPr>
              <w:t>Про розподіл житла.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57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виділення матеріальних цінностей з міського матеріального резерву Покровської міської територіальної громади для безперебійної роботи закладів соціальної сфери в межах Покровської міської територіальної громади 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b w:val="false"/>
                <w:bCs w:val="false"/>
                <w:color w:val="000000"/>
                <w:shd w:fill="auto" w:val="clear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Про затвердження розрахунків покриття витрат автомобільних перевізників за один оборотний пільговий рейс на міських автобусних маршрутах загального користування Покровської міської територіальної громади у 2026 році.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b w:val="false"/>
                <w:bCs w:val="false"/>
                <w:color w:val="000000"/>
                <w:shd w:fill="auto" w:val="clear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uk-UA"/>
              </w:rPr>
              <w:t>Про надання матеріальної грошової допомоги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/>
              </w:rPr>
              <w:t>Сергій КУРАСОВ</w:t>
            </w:r>
          </w:p>
        </w:tc>
      </w:tr>
      <w:tr>
        <w:trPr>
          <w:trHeight w:val="293" w:hRule="atLeast"/>
        </w:trPr>
        <w:tc>
          <w:tcPr>
            <w:tcW w:w="10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2.Блок питань з обмеженим доступом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 року народження.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ru-RU" w:bidi="ar-S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ru-RU" w:bidi="ar-SA"/>
              </w:rPr>
              <w:t xml:space="preserve"> року народження.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 року народження.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Style w:val="11"/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Про відмову у наданні статусу дитини,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яка постраждала внаслідок воєнних дій та збройних конфліктів, малолітній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 </w:t>
            </w:r>
            <w:r>
              <w:rPr>
                <w:rStyle w:val="12"/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 w:bidi="ar-SA"/>
              </w:rPr>
              <w:t>року народження.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Style w:val="11"/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Про відмову у наданні статусу дитини,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яка постраждала внаслідок воєнних дій та збройних конфліктів, малолітній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 </w:t>
            </w:r>
            <w:r>
              <w:rPr>
                <w:rStyle w:val="12"/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 w:eastAsia="ru-RU" w:bidi="ar-SA"/>
              </w:rPr>
              <w:t>року народження.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Про надання малолітній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 року народження статусу дитини, позбавленої батьківського піклування.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Про надання малолітньому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 року народження статусу дитини, позбавленої батьківського піклування.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Про надання малолітньому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 року народження статусу дитини, позбавленої батьківського піклування.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 xml:space="preserve">Про встановлення опіки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3"/>
                <w:sz w:val="28"/>
                <w:szCs w:val="28"/>
                <w:lang w:val="uk-UA"/>
              </w:rPr>
              <w:t xml:space="preserve">Про надання дозволу на укладання договору купівлі-продажу квартири 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3"/>
                <w:sz w:val="28"/>
                <w:szCs w:val="28"/>
                <w:lang w:val="uk-UA"/>
              </w:rPr>
              <w:t xml:space="preserve">Про надання дозволу на укладання договору купівлі-продажу квартири 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3"/>
                <w:sz w:val="28"/>
                <w:szCs w:val="28"/>
                <w:lang w:val="uk-UA"/>
              </w:rPr>
              <w:t xml:space="preserve">Про затвердження висновку органу опіки та піклування Покровської міської ради Дніпропетровської області щодо визначення місця малолітнього 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  <w:lang w:val="uk-UA" w:eastAsia="ru-RU" w:bidi="ar-SA"/>
              </w:rPr>
              <w:t>ХХХ ХХ ХХ, хх.хх.хххх</w:t>
            </w:r>
            <w:r>
              <w:rPr>
                <w:rFonts w:cs="Times New Roman" w:ascii="Times New Roman" w:hAnsi="Times New Roman"/>
                <w:spacing w:val="-3"/>
                <w:sz w:val="28"/>
                <w:szCs w:val="28"/>
                <w:lang w:val="uk-UA"/>
              </w:rPr>
              <w:t xml:space="preserve"> року народження з батьком, </w:t>
            </w:r>
            <w:r>
              <w:rPr>
                <w:rFonts w:eastAsia="Times New Roman" w:cs="Times New Roman" w:ascii="Times New Roman" w:hAnsi="Times New Roman"/>
                <w:spacing w:val="-3"/>
                <w:sz w:val="28"/>
                <w:szCs w:val="28"/>
                <w:lang w:val="uk-UA" w:eastAsia="ru-RU" w:bidi="ar-SA"/>
              </w:rPr>
              <w:t>ХХХ ХХ ХХ, хх.хх.хххх</w:t>
            </w:r>
            <w:r>
              <w:rPr>
                <w:rFonts w:cs="Times New Roman" w:ascii="Times New Roman" w:hAnsi="Times New Roman"/>
                <w:spacing w:val="-3"/>
                <w:sz w:val="28"/>
                <w:szCs w:val="28"/>
                <w:lang w:val="uk-UA"/>
              </w:rPr>
              <w:t xml:space="preserve"> року народження.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Вікторія АГАПОВА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загального відділу </w:t>
        <w:tab/>
        <w:tab/>
        <w:t xml:space="preserve">                                    </w:t>
        <w:tab/>
        <w:t xml:space="preserve">                      Оксана ТОВКАНЬ</w:t>
      </w:r>
      <w:r>
        <w:rPr>
          <w:rFonts w:ascii="Times New Roman" w:hAnsi="Times New Roman"/>
          <w:strike w:val="false"/>
          <w:dstrike w:val="false"/>
          <w:sz w:val="24"/>
          <w:szCs w:val="24"/>
          <w:lang w:val="uk-UA"/>
        </w:rPr>
        <w:t xml:space="preserve"> 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10885</TotalTime>
  <Application>LibreOffice/7.4.3.2$Windows_X86_64 LibreOffice_project/1048a8393ae2eeec98dff31b5c133c5f1d08b890</Application>
  <AppVersion>15.0000</AppVersion>
  <Pages>4</Pages>
  <Words>940</Words>
  <Characters>6372</Characters>
  <CharactersWithSpaces>7242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2025-11-19T13:34:53Z</cp:lastPrinted>
  <dcterms:modified xsi:type="dcterms:W3CDTF">2025-11-20T09:40:45Z</dcterms:modified>
  <cp:revision>353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