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0"/>
        <w:shd w:fill="FFFFFF"/>
        <w:spacing w:lineRule="auto" w:line="276" w:before="0" w:after="140"/>
        <w:ind w:left="0" w:right="-57" w:hanging="0"/>
        <w:contextualSpacing/>
        <w:jc w:val="center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lang w:val="uk-UA" w:eastAsia="zh-CN" w:bidi="ar-SA"/>
        </w:rPr>
        <w:t>П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>орядок денний</w:t>
      </w:r>
    </w:p>
    <w:p>
      <w:pPr>
        <w:pStyle w:val="Normal"/>
        <w:widowControl/>
        <w:shd w:val="clear" w:fill="FFFFFF"/>
        <w:suppressAutoHyphens w:val="true"/>
        <w:bidi w:val="0"/>
        <w:spacing w:lineRule="atLeast" w:line="0" w:before="0" w:after="140"/>
        <w:ind w:left="-57" w:right="-57" w:hanging="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засідання виконавчого комітету Покровської міської ради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2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ar-SA"/>
        </w:rPr>
        <w:t>0.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ar-SA"/>
        </w:rPr>
        <w:t>05.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2022 року </w:t>
      </w:r>
    </w:p>
    <w:tbl>
      <w:tblPr>
        <w:tblW w:w="9641" w:type="dxa"/>
        <w:jc w:val="left"/>
        <w:tblInd w:w="-5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91"/>
        <w:gridCol w:w="1364"/>
        <w:gridCol w:w="5890"/>
        <w:gridCol w:w="1596"/>
      </w:tblGrid>
      <w:tr>
        <w:trPr>
          <w:trHeight w:val="390" w:hRule="atLeast"/>
        </w:trPr>
        <w:tc>
          <w:tcPr>
            <w:tcW w:w="7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rFonts w:ascii="Times New Roman" w:hAnsi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>№</w:t>
            </w:r>
            <w:r>
              <w:rPr>
                <w:rFonts w:eastAsia="Times New Roman"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58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bidi w:val="0"/>
              <w:spacing w:before="0" w:after="12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Назва рішення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spacing w:before="0" w:after="12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Доповідач</w:t>
            </w:r>
          </w:p>
        </w:tc>
      </w:tr>
      <w:tr>
        <w:trPr>
          <w:trHeight w:val="390" w:hRule="atLeast"/>
        </w:trPr>
        <w:tc>
          <w:tcPr>
            <w:tcW w:w="791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ind w:left="283" w:right="283" w:hanging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76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  <w:t>114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spacing w:val="1"/>
                <w:sz w:val="24"/>
                <w:szCs w:val="24"/>
                <w:shd w:fill="auto" w:val="clear"/>
                <w:lang w:val="uk-UA"/>
              </w:rPr>
              <w:t>/06-53-22</w:t>
            </w:r>
          </w:p>
        </w:tc>
        <w:tc>
          <w:tcPr>
            <w:tcW w:w="5890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uppressAutoHyphens w:val="false"/>
              <w:overflowPunct w:val="false"/>
              <w:bidi w:val="0"/>
              <w:spacing w:lineRule="auto" w:line="240" w:before="0" w:after="0"/>
              <w:ind w:left="57" w:right="113" w:hanging="0"/>
              <w:contextualSpacing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Про роботу Центру соціальних служб Покровської міської ради Дніпропетровської області за 2021 рік.</w:t>
            </w:r>
          </w:p>
        </w:tc>
        <w:tc>
          <w:tcPr>
            <w:tcW w:w="1596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uk-UA" w:eastAsia="zh-CN" w:bidi="ar-SA"/>
              </w:rPr>
              <w:t xml:space="preserve">Зарубіна 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Г.</w:t>
            </w:r>
          </w:p>
        </w:tc>
      </w:tr>
      <w:tr>
        <w:trPr>
          <w:trHeight w:val="390" w:hRule="atLeast"/>
        </w:trPr>
        <w:tc>
          <w:tcPr>
            <w:tcW w:w="791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673" w:leader="none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ind w:left="283" w:right="283" w:hanging="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76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  <w:t>115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spacing w:val="1"/>
                <w:sz w:val="24"/>
                <w:szCs w:val="24"/>
                <w:shd w:fill="auto" w:val="clear"/>
                <w:lang w:val="uk-UA"/>
              </w:rPr>
              <w:t>/06-53-22</w:t>
            </w:r>
          </w:p>
        </w:tc>
        <w:tc>
          <w:tcPr>
            <w:tcW w:w="5890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40" w:before="0" w:after="0"/>
              <w:ind w:left="57" w:right="113" w:hanging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uk-UA"/>
              </w:rPr>
              <w:t>Про зміну статусу дитини, позбавленої батьківського піклування на статус дитини-сироти (</w:t>
            </w: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uk-UA" w:eastAsia="zh-CN" w:bidi="hi-IN"/>
              </w:rPr>
              <w:t>ХХХХ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uk-UA"/>
              </w:rPr>
              <w:t>).</w:t>
            </w:r>
          </w:p>
        </w:tc>
        <w:tc>
          <w:tcPr>
            <w:tcW w:w="1596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791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ind w:left="283" w:right="227" w:hanging="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76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  <w:t>116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spacing w:val="1"/>
                <w:sz w:val="24"/>
                <w:szCs w:val="24"/>
                <w:shd w:fill="auto" w:val="clear"/>
                <w:lang w:val="uk-UA"/>
              </w:rPr>
              <w:t>/06-53-22</w:t>
            </w:r>
          </w:p>
        </w:tc>
        <w:tc>
          <w:tcPr>
            <w:tcW w:w="5890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uppressAutoHyphens w:val="false"/>
              <w:overflowPunct w:val="false"/>
              <w:bidi w:val="0"/>
              <w:spacing w:lineRule="auto" w:line="240" w:before="0" w:after="0"/>
              <w:ind w:left="57" w:right="113" w:hanging="0"/>
              <w:contextualSpacing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/>
              <w:t xml:space="preserve">Про затвердження висновку органу опіки та піклування Покровської міської ради Дніпропетровської області щодо визначення місця проживання малолітнього </w:t>
            </w:r>
            <w:r>
              <w:rPr>
                <w:rFonts w:eastAsia="Noto Serif CJK SC"/>
                <w:b w:val="false"/>
                <w:bCs w:val="false"/>
                <w:color w:val="auto"/>
                <w:kern w:val="2"/>
                <w:sz w:val="24"/>
                <w:szCs w:val="24"/>
                <w:lang w:val="uk-UA" w:eastAsia="zh-CN" w:bidi="hi-IN"/>
              </w:rPr>
              <w:t>ХХХХ ХХХХ ХХХХ</w:t>
            </w:r>
            <w:r>
              <w:rPr>
                <w:b w:val="false"/>
                <w:bCs w:val="false"/>
                <w:sz w:val="24"/>
                <w:szCs w:val="24"/>
                <w:lang w:val="uk-UA"/>
              </w:rPr>
              <w:t>, ХХ.ХХ.ХХХХ</w:t>
            </w:r>
            <w:r>
              <w:rPr>
                <w:sz w:val="24"/>
                <w:szCs w:val="24"/>
              </w:rPr>
              <w:t xml:space="preserve"> року народження.</w:t>
            </w:r>
          </w:p>
        </w:tc>
        <w:tc>
          <w:tcPr>
            <w:tcW w:w="1596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Відяєва Г.</w:t>
            </w:r>
          </w:p>
        </w:tc>
      </w:tr>
      <w:tr>
        <w:trPr>
          <w:trHeight w:val="425" w:hRule="atLeast"/>
        </w:trPr>
        <w:tc>
          <w:tcPr>
            <w:tcW w:w="791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ind w:left="283" w:right="283" w:hanging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76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  <w:t>117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spacing w:val="1"/>
                <w:sz w:val="24"/>
                <w:szCs w:val="24"/>
                <w:shd w:fill="auto" w:val="clear"/>
                <w:lang w:val="uk-UA"/>
              </w:rPr>
              <w:t>/06-53-22</w:t>
            </w:r>
          </w:p>
        </w:tc>
        <w:tc>
          <w:tcPr>
            <w:tcW w:w="5890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uppressAutoHyphens w:val="false"/>
              <w:overflowPunct w:val="false"/>
              <w:bidi w:val="0"/>
              <w:spacing w:lineRule="auto" w:line="240" w:before="0" w:after="0"/>
              <w:ind w:left="57" w:right="113" w:hanging="0"/>
              <w:contextualSpacing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 xml:space="preserve">Про затвердження висновку органу опіки та піклування Покровської міської ради Дніпропетровської області щодо визначення місця проживання малолітньої </w:t>
            </w:r>
            <w:r>
              <w:rPr>
                <w:rFonts w:eastAsia="Noto Serif CJK SC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uk-UA" w:eastAsia="zh-CN" w:bidi="hi-IN"/>
              </w:rPr>
              <w:t>ХХХХ ХХХХ ХХХХ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  <w:t>, ХХ.ХХ.ХХХХ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 xml:space="preserve"> року народження з батьком, гр. </w:t>
            </w:r>
            <w:r>
              <w:rPr>
                <w:rFonts w:eastAsia="Noto Serif CJK SC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uk-UA" w:eastAsia="zh-CN" w:bidi="hi-IN"/>
              </w:rPr>
              <w:t>ХХХХ ХХХХ ХХХХ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  <w:t>, ХХ.ХХ.ХХХХ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 xml:space="preserve"> року народження.</w:t>
            </w:r>
          </w:p>
        </w:tc>
        <w:tc>
          <w:tcPr>
            <w:tcW w:w="1596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Відяєва Г.</w:t>
            </w:r>
          </w:p>
        </w:tc>
      </w:tr>
      <w:tr>
        <w:trPr>
          <w:trHeight w:val="428" w:hRule="atLeast"/>
        </w:trPr>
        <w:tc>
          <w:tcPr>
            <w:tcW w:w="791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ind w:left="283" w:right="283" w:hanging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76"/>
              <w:ind w:left="0" w:right="0" w:hanging="0"/>
              <w:jc w:val="center"/>
              <w:rPr>
                <w:rFonts w:ascii="Times New Roman" w:hAnsi="Times New Roman" w:cs="Liberation Serif;Times New Roman"/>
                <w:b w:val="false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Liberation Serif;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  <w:t>118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spacing w:val="1"/>
                <w:sz w:val="24"/>
                <w:szCs w:val="24"/>
                <w:shd w:fill="auto" w:val="clear"/>
                <w:lang w:val="uk-UA"/>
              </w:rPr>
              <w:t>/06-53-22</w:t>
            </w:r>
          </w:p>
        </w:tc>
        <w:tc>
          <w:tcPr>
            <w:tcW w:w="5890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uppressAutoHyphens w:val="false"/>
              <w:overflowPunct w:val="false"/>
              <w:bidi w:val="0"/>
              <w:spacing w:lineRule="auto" w:line="240" w:before="0" w:after="0"/>
              <w:ind w:left="57" w:right="113" w:hanging="0"/>
              <w:contextualSpacing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 xml:space="preserve">Про затвердження висновку органу опіки та піклування Покровської міської ради Дніпропетровської області щодо визначення місця проживання малолітніх </w:t>
            </w:r>
            <w:r>
              <w:rPr>
                <w:rFonts w:eastAsia="Noto Serif CJK SC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uk-UA" w:eastAsia="zh-CN" w:bidi="hi-IN"/>
              </w:rPr>
              <w:t>ХХХХ ХХХХ ХХХХ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  <w:t>, ХХ.ХХ.ХХХХ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 xml:space="preserve"> року народження, </w:t>
            </w:r>
            <w:r>
              <w:rPr>
                <w:rFonts w:eastAsia="Noto Serif CJK SC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uk-UA" w:eastAsia="zh-CN" w:bidi="hi-IN"/>
              </w:rPr>
              <w:t>ХХХХ ХХХХ ХХХХ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  <w:t>, ХХ.ХХ.ХХХХ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 xml:space="preserve"> року народження з матір’ю, гр. </w:t>
            </w:r>
            <w:r>
              <w:rPr>
                <w:rFonts w:eastAsia="Noto Serif CJK SC" w:cs="Times New Roman" w:ascii="Times New Roman" w:hAnsi="Times New Roman"/>
                <w:b w:val="false"/>
                <w:bCs w:val="false"/>
                <w:color w:val="000000"/>
                <w:kern w:val="2"/>
                <w:sz w:val="24"/>
                <w:szCs w:val="24"/>
                <w:shd w:fill="auto" w:val="clear"/>
                <w:lang w:val="uk-UA" w:eastAsia="zh-CN" w:bidi="hi-IN"/>
              </w:rPr>
              <w:t>ХХХХ ХХХХ ХХХХ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  <w:t>, ХХ.ХХ.ХХХХ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 xml:space="preserve"> року народження.</w:t>
            </w:r>
          </w:p>
        </w:tc>
        <w:tc>
          <w:tcPr>
            <w:tcW w:w="1596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Відяєва Г.</w:t>
            </w:r>
          </w:p>
        </w:tc>
      </w:tr>
      <w:tr>
        <w:trPr>
          <w:trHeight w:val="428" w:hRule="atLeast"/>
        </w:trPr>
        <w:tc>
          <w:tcPr>
            <w:tcW w:w="791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ind w:left="283" w:right="283" w:hanging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119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4"/>
                <w:szCs w:val="24"/>
                <w:lang w:val="uk-UA" w:eastAsia="ru-RU" w:bidi="ar-SA"/>
              </w:rPr>
              <w:t>/06-53-22</w:t>
            </w:r>
          </w:p>
        </w:tc>
        <w:tc>
          <w:tcPr>
            <w:tcW w:w="5890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uppressAutoHyphens w:val="false"/>
              <w:overflowPunct w:val="false"/>
              <w:bidi w:val="0"/>
              <w:spacing w:lineRule="auto" w:line="240" w:before="0" w:after="0"/>
              <w:ind w:left="57" w:right="113" w:hanging="0"/>
              <w:contextualSpacing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 xml:space="preserve">Про затвердження висновку органу опіки і піклування про можливість виконувати обов’язки опікуна громадянкою </w:t>
            </w: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ХХХХ ХХХХ ХХХХ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 xml:space="preserve"> над громадянином </w:t>
            </w: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ХХХХ ХХХХ ХХХХ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.</w:t>
            </w:r>
          </w:p>
        </w:tc>
        <w:tc>
          <w:tcPr>
            <w:tcW w:w="1596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Відяєва Г.</w:t>
            </w:r>
          </w:p>
        </w:tc>
      </w:tr>
      <w:tr>
        <w:trPr>
          <w:trHeight w:val="428" w:hRule="atLeast"/>
        </w:trPr>
        <w:tc>
          <w:tcPr>
            <w:tcW w:w="791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ind w:left="283" w:right="283" w:hanging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120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4"/>
                <w:szCs w:val="24"/>
                <w:lang w:val="uk-UA" w:eastAsia="ru-RU" w:bidi="ar-SA"/>
              </w:rPr>
              <w:t>/06-53-22</w:t>
            </w:r>
          </w:p>
        </w:tc>
        <w:tc>
          <w:tcPr>
            <w:tcW w:w="5890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40" w:before="0" w:after="0"/>
              <w:ind w:left="57" w:right="113" w:hanging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uk-UA"/>
              </w:rPr>
              <w:t>Про затвердження умов оренди вбудованого нежитлового приміщення загальною площею 24,2 кв.м, розташованого по вул. Центральна, 49/1 в м. Покров, включеного до Переліку першого типу.</w:t>
            </w:r>
          </w:p>
        </w:tc>
        <w:tc>
          <w:tcPr>
            <w:tcW w:w="1596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Чистяков О.</w:t>
            </w:r>
          </w:p>
        </w:tc>
      </w:tr>
      <w:tr>
        <w:trPr>
          <w:trHeight w:val="428" w:hRule="atLeast"/>
        </w:trPr>
        <w:tc>
          <w:tcPr>
            <w:tcW w:w="791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ind w:left="283" w:right="283" w:hanging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121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spacing w:val="1"/>
                <w:sz w:val="24"/>
                <w:szCs w:val="24"/>
                <w:lang w:val="uk-UA"/>
              </w:rPr>
              <w:t>/06-53-22</w:t>
            </w:r>
          </w:p>
        </w:tc>
        <w:tc>
          <w:tcPr>
            <w:tcW w:w="5890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40" w:before="0" w:after="0"/>
              <w:ind w:left="57" w:right="113" w:hanging="0"/>
              <w:contextualSpacing/>
              <w:jc w:val="both"/>
              <w:textAlignment w:val="baseline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uk-UA"/>
              </w:rPr>
              <w:t>Про затвердження умов оренди вбудованого нежитлового приміщення загальною площею 18,2 кв.м, розташованого по вул. Центральна, 49/1 в м. Покров, включеного до Переліку першого типу.</w:t>
            </w:r>
          </w:p>
        </w:tc>
        <w:tc>
          <w:tcPr>
            <w:tcW w:w="1596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Чистяков О.</w:t>
            </w:r>
          </w:p>
        </w:tc>
      </w:tr>
      <w:tr>
        <w:trPr>
          <w:trHeight w:val="428" w:hRule="atLeast"/>
        </w:trPr>
        <w:tc>
          <w:tcPr>
            <w:tcW w:w="791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ind w:left="283" w:right="283" w:hanging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122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spacing w:val="1"/>
                <w:sz w:val="24"/>
                <w:szCs w:val="24"/>
                <w:lang w:val="uk-UA"/>
              </w:rPr>
              <w:t>/06-53-22</w:t>
            </w:r>
          </w:p>
        </w:tc>
        <w:tc>
          <w:tcPr>
            <w:tcW w:w="5890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40" w:before="0" w:after="0"/>
              <w:ind w:left="57" w:right="113" w:hanging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uk-UA"/>
              </w:rPr>
              <w:t>Про продовження без проведення аукціону договору оренди комунального майна від 01.11.2019 року №111, укладеного з ФОП Павліковська В.О.</w:t>
            </w:r>
          </w:p>
        </w:tc>
        <w:tc>
          <w:tcPr>
            <w:tcW w:w="1596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Чистяков О.</w:t>
            </w:r>
          </w:p>
        </w:tc>
      </w:tr>
      <w:tr>
        <w:trPr>
          <w:trHeight w:val="428" w:hRule="atLeast"/>
        </w:trPr>
        <w:tc>
          <w:tcPr>
            <w:tcW w:w="791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ind w:left="283" w:right="283" w:hanging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uk-UA"/>
              </w:rPr>
              <w:t>123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spacing w:val="1"/>
                <w:sz w:val="24"/>
                <w:szCs w:val="24"/>
                <w:lang w:val="uk-UA"/>
              </w:rPr>
              <w:t>/06-53-22</w:t>
            </w:r>
          </w:p>
        </w:tc>
        <w:tc>
          <w:tcPr>
            <w:tcW w:w="5890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40" w:before="0" w:after="0"/>
              <w:ind w:left="57" w:right="113" w:hanging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uk-UA"/>
              </w:rPr>
              <w:t>Про встановлення зручного для населення режиму роботи ДРК “Веселі джунглі” та кафе “Какаду”, які розташовані по вулиці Центральна, 39 в м. Покров.</w:t>
            </w:r>
          </w:p>
        </w:tc>
        <w:tc>
          <w:tcPr>
            <w:tcW w:w="1596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Чистяков О.</w:t>
            </w:r>
          </w:p>
        </w:tc>
      </w:tr>
      <w:tr>
        <w:trPr>
          <w:trHeight w:val="428" w:hRule="atLeast"/>
        </w:trPr>
        <w:tc>
          <w:tcPr>
            <w:tcW w:w="791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ind w:left="283" w:right="283" w:hanging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124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4"/>
                <w:szCs w:val="24"/>
                <w:lang w:val="uk-UA" w:eastAsia="ru-RU" w:bidi="ar-SA"/>
              </w:rPr>
              <w:t>/06-53-22</w:t>
            </w:r>
          </w:p>
        </w:tc>
        <w:tc>
          <w:tcPr>
            <w:tcW w:w="5890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40" w:before="0" w:after="0"/>
              <w:ind w:left="57" w:right="113" w:hanging="0"/>
              <w:contextualSpacing/>
              <w:jc w:val="both"/>
              <w:textAlignment w:val="baseline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uk-UA"/>
              </w:rPr>
              <w:t xml:space="preserve">Про дострокове припинення договору оренди комунального майна 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ru-RU"/>
              </w:rPr>
              <w:t>№152 в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uk-UA"/>
              </w:rPr>
              <w:t xml:space="preserve">ід 10.12.2021 року, укладеного з </w:t>
            </w: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uk-UA" w:eastAsia="zh-CN" w:bidi="hi-IN"/>
              </w:rPr>
              <w:t>ХХХХ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uk-UA"/>
              </w:rPr>
              <w:t>.</w:t>
            </w:r>
          </w:p>
        </w:tc>
        <w:tc>
          <w:tcPr>
            <w:tcW w:w="1596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Чистяков О.</w:t>
            </w:r>
          </w:p>
        </w:tc>
      </w:tr>
      <w:tr>
        <w:trPr>
          <w:trHeight w:val="428" w:hRule="atLeast"/>
        </w:trPr>
        <w:tc>
          <w:tcPr>
            <w:tcW w:w="791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ind w:left="283" w:right="283" w:hanging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125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4"/>
                <w:szCs w:val="24"/>
                <w:lang w:val="uk-UA" w:eastAsia="ru-RU" w:bidi="ar-SA"/>
              </w:rPr>
              <w:t>/06-53-22</w:t>
            </w:r>
          </w:p>
        </w:tc>
        <w:tc>
          <w:tcPr>
            <w:tcW w:w="5890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uppressAutoHyphens w:val="false"/>
              <w:overflowPunct w:val="false"/>
              <w:bidi w:val="0"/>
              <w:spacing w:lineRule="auto" w:line="240" w:before="0" w:after="0"/>
              <w:ind w:left="57" w:right="113" w:hanging="0"/>
              <w:contextualSpacing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 xml:space="preserve">Про погодження продовження терміну користування місцем розміщення тимчасової споруди в районі існуючих гаражів на вул. </w:t>
            </w: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ХХХХ</w:t>
            </w: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uk-UA" w:eastAsia="zh-CN" w:bidi="hi-IN"/>
              </w:rPr>
              <w:t xml:space="preserve"> (ХХХХ)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.</w:t>
            </w:r>
          </w:p>
        </w:tc>
        <w:tc>
          <w:tcPr>
            <w:tcW w:w="1596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Цупрова Г.</w:t>
            </w:r>
          </w:p>
        </w:tc>
      </w:tr>
      <w:tr>
        <w:trPr>
          <w:trHeight w:val="428" w:hRule="atLeast"/>
        </w:trPr>
        <w:tc>
          <w:tcPr>
            <w:tcW w:w="791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ind w:left="283" w:right="283" w:hanging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126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4"/>
                <w:szCs w:val="24"/>
                <w:lang w:val="uk-UA" w:eastAsia="ru-RU" w:bidi="ar-SA"/>
              </w:rPr>
              <w:t>/06-53-22</w:t>
            </w:r>
          </w:p>
        </w:tc>
        <w:tc>
          <w:tcPr>
            <w:tcW w:w="5890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uppressAutoHyphens w:val="false"/>
              <w:overflowPunct w:val="false"/>
              <w:bidi w:val="0"/>
              <w:spacing w:lineRule="auto" w:line="240" w:before="0" w:after="0"/>
              <w:ind w:left="57" w:right="113" w:hanging="0"/>
              <w:contextualSpacing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Про погодження проведення реконструкції квартири №</w:t>
            </w: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ХХ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 xml:space="preserve"> в житловому будинку №</w:t>
            </w: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>ХХ</w:t>
            </w: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 xml:space="preserve"> на вул. </w:t>
            </w: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ru-RU" w:eastAsia="zh-CN" w:bidi="hi-IN"/>
              </w:rPr>
              <w:t xml:space="preserve">ХХХХ </w:t>
            </w: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4"/>
                <w:szCs w:val="24"/>
                <w:shd w:fill="auto" w:val="clear"/>
                <w:lang w:val="uk-UA" w:eastAsia="zh-CN" w:bidi="hi-IN"/>
              </w:rPr>
              <w:t>(ХХХХ).</w:t>
            </w:r>
          </w:p>
        </w:tc>
        <w:tc>
          <w:tcPr>
            <w:tcW w:w="1596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Цупрова Г.</w:t>
            </w:r>
          </w:p>
        </w:tc>
      </w:tr>
      <w:tr>
        <w:trPr>
          <w:trHeight w:val="428" w:hRule="atLeast"/>
        </w:trPr>
        <w:tc>
          <w:tcPr>
            <w:tcW w:w="791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ind w:left="283" w:right="283" w:hanging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111111"/>
                <w:sz w:val="24"/>
                <w:szCs w:val="24"/>
                <w:lang w:val="uk-UA"/>
              </w:rPr>
              <w:t>127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color w:val="111111"/>
                <w:spacing w:val="1"/>
                <w:sz w:val="24"/>
                <w:szCs w:val="24"/>
                <w:lang w:val="uk-UA"/>
              </w:rPr>
              <w:t>/06-53-22</w:t>
            </w:r>
          </w:p>
        </w:tc>
        <w:tc>
          <w:tcPr>
            <w:tcW w:w="5890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uppressAutoHyphens w:val="false"/>
              <w:overflowPunct w:val="false"/>
              <w:bidi w:val="0"/>
              <w:spacing w:lineRule="auto" w:line="240" w:before="0" w:after="0"/>
              <w:ind w:left="57" w:right="113" w:hanging="0"/>
              <w:contextualSpacing/>
              <w:jc w:val="both"/>
              <w:textAlignment w:val="auto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Про погодження продовження терміну розміщення тимчасової споруди — торговельного кіоску на вул. Чайкіної Лізи ФОП Мельник Т.В</w:t>
            </w:r>
          </w:p>
        </w:tc>
        <w:tc>
          <w:tcPr>
            <w:tcW w:w="1596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Цупрова Г.</w:t>
            </w:r>
          </w:p>
        </w:tc>
      </w:tr>
      <w:tr>
        <w:trPr>
          <w:trHeight w:val="428" w:hRule="atLeast"/>
        </w:trPr>
        <w:tc>
          <w:tcPr>
            <w:tcW w:w="791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ind w:left="283" w:right="283" w:hanging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111111"/>
                <w:sz w:val="24"/>
                <w:szCs w:val="24"/>
                <w:lang w:val="uk-UA"/>
              </w:rPr>
              <w:t>128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color w:val="111111"/>
                <w:spacing w:val="1"/>
                <w:sz w:val="24"/>
                <w:szCs w:val="24"/>
                <w:lang w:val="uk-UA"/>
              </w:rPr>
              <w:t>/06-53-22</w:t>
            </w:r>
          </w:p>
        </w:tc>
        <w:tc>
          <w:tcPr>
            <w:tcW w:w="5890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40" w:before="0" w:after="0"/>
              <w:ind w:left="57" w:right="0" w:hanging="0"/>
              <w:contextualSpacing/>
              <w:jc w:val="both"/>
              <w:textAlignment w:val="baseline"/>
              <w:rPr>
                <w:sz w:val="24"/>
                <w:szCs w:val="24"/>
                <w:shd w:fill="auto" w:val="clear"/>
                <w:lang w:val="uk-UA"/>
              </w:rPr>
            </w:pPr>
            <w:r>
              <w:rPr>
                <w:sz w:val="24"/>
                <w:szCs w:val="24"/>
                <w:shd w:fill="auto" w:val="clear"/>
                <w:lang w:val="uk-UA"/>
              </w:rPr>
              <w:t>Про зняття громадян з обліку потребуючих поліпшення житлових умов.</w:t>
            </w:r>
          </w:p>
        </w:tc>
        <w:tc>
          <w:tcPr>
            <w:tcW w:w="1596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Маглиш А.</w:t>
            </w:r>
          </w:p>
        </w:tc>
      </w:tr>
      <w:tr>
        <w:trPr>
          <w:trHeight w:val="428" w:hRule="atLeast"/>
        </w:trPr>
        <w:tc>
          <w:tcPr>
            <w:tcW w:w="791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ind w:left="283" w:right="283" w:hanging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ru-RU" w:bidi="ar-SA"/>
              </w:rPr>
              <w:t>129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1"/>
                <w:kern w:val="2"/>
                <w:sz w:val="24"/>
                <w:szCs w:val="24"/>
                <w:u w:val="none"/>
                <w:lang w:val="uk-UA" w:eastAsia="ru-RU" w:bidi="ar-SA"/>
              </w:rPr>
              <w:t>/06-53-22</w:t>
            </w:r>
          </w:p>
        </w:tc>
        <w:tc>
          <w:tcPr>
            <w:tcW w:w="5890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57" w:right="0" w:hanging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uk-UA"/>
              </w:rPr>
              <w:t>Про взяття на облік потребуючих поліпшення житлових умов.</w:t>
            </w:r>
          </w:p>
        </w:tc>
        <w:tc>
          <w:tcPr>
            <w:tcW w:w="1596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Маглиш А.</w:t>
            </w:r>
          </w:p>
        </w:tc>
      </w:tr>
      <w:tr>
        <w:trPr>
          <w:trHeight w:val="428" w:hRule="atLeast"/>
        </w:trPr>
        <w:tc>
          <w:tcPr>
            <w:tcW w:w="791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ind w:left="283" w:right="283" w:hanging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ru-RU" w:bidi="ar-SA"/>
              </w:rPr>
              <w:t>130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1"/>
                <w:kern w:val="2"/>
                <w:sz w:val="24"/>
                <w:szCs w:val="24"/>
                <w:u w:val="none"/>
                <w:lang w:val="uk-UA" w:eastAsia="ru-RU" w:bidi="ar-SA"/>
              </w:rPr>
              <w:t>/06-53-22</w:t>
            </w:r>
          </w:p>
        </w:tc>
        <w:tc>
          <w:tcPr>
            <w:tcW w:w="5890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57" w:right="113" w:hanging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uk-UA"/>
              </w:rPr>
              <w:t>Про внесення змін до персонального складу адміністративної комісії при виконавчому комітеті Покровської міської ради, затвердженого рішенням виконавчого комітету Покровської міської ради від від 18.12.2020 №542.</w:t>
            </w:r>
          </w:p>
        </w:tc>
        <w:tc>
          <w:tcPr>
            <w:tcW w:w="1596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Курасов С.</w:t>
            </w:r>
          </w:p>
        </w:tc>
      </w:tr>
      <w:tr>
        <w:trPr>
          <w:trHeight w:val="428" w:hRule="atLeast"/>
        </w:trPr>
        <w:tc>
          <w:tcPr>
            <w:tcW w:w="791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ind w:left="283" w:right="283" w:hanging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ru-RU" w:bidi="ar-SA"/>
              </w:rPr>
              <w:t>131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1"/>
                <w:kern w:val="2"/>
                <w:sz w:val="24"/>
                <w:szCs w:val="24"/>
                <w:u w:val="none"/>
                <w:lang w:val="uk-UA" w:eastAsia="ru-RU" w:bidi="ar-SA"/>
              </w:rPr>
              <w:t>/06-53-22</w:t>
            </w:r>
          </w:p>
        </w:tc>
        <w:tc>
          <w:tcPr>
            <w:tcW w:w="5890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57" w:right="113" w:hanging="0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uk-UA"/>
              </w:rPr>
              <w:t xml:space="preserve">Про внесення змін до рішення «Про затвердження Положення про громадську раду при виконавчому комітеті Покровської міської ради від 25.07.2018 року №325». </w:t>
            </w:r>
          </w:p>
        </w:tc>
        <w:tc>
          <w:tcPr>
            <w:tcW w:w="1596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Курасов С.</w:t>
            </w:r>
          </w:p>
        </w:tc>
      </w:tr>
      <w:tr>
        <w:trPr>
          <w:trHeight w:val="428" w:hRule="atLeast"/>
        </w:trPr>
        <w:tc>
          <w:tcPr>
            <w:tcW w:w="791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napToGrid w:val="false"/>
              <w:ind w:left="283" w:right="283" w:hanging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uk-UA" w:eastAsia="ru-RU" w:bidi="ar-SA"/>
              </w:rPr>
              <w:t>132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pacing w:val="1"/>
                <w:kern w:val="2"/>
                <w:sz w:val="24"/>
                <w:szCs w:val="24"/>
                <w:u w:val="none"/>
                <w:lang w:val="uk-UA" w:eastAsia="ru-RU" w:bidi="ar-SA"/>
              </w:rPr>
              <w:t>/06-53-22</w:t>
            </w:r>
          </w:p>
        </w:tc>
        <w:tc>
          <w:tcPr>
            <w:tcW w:w="5890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Spacing"/>
              <w:widowControl w:val="false"/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57" w:right="113" w:hanging="0"/>
              <w:contextualSpacing/>
              <w:jc w:val="both"/>
              <w:textAlignment w:val="baselin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shd w:fill="auto" w:val="clear"/>
                <w:lang w:val="uk-UA" w:eastAsia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shd w:fill="auto" w:val="clear"/>
                <w:lang w:val="uk-UA" w:eastAsia="ar-SA"/>
              </w:rPr>
              <w:t>Про надання матеріальної грошової допомоги.</w:t>
            </w:r>
          </w:p>
        </w:tc>
        <w:tc>
          <w:tcPr>
            <w:tcW w:w="1596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shd w:fill="auto" w:val="clear"/>
                <w:lang w:val="uk-UA" w:eastAsia="ru-RU" w:bidi="ar-SA"/>
              </w:rPr>
              <w:t>Курасов С.</w:t>
            </w:r>
          </w:p>
        </w:tc>
      </w:tr>
    </w:tbl>
    <w:p>
      <w:pPr>
        <w:pStyle w:val="Standard"/>
        <w:shd w:val="clear" w:fill="FFFFFF"/>
        <w:spacing w:lineRule="atLeast" w:line="0"/>
        <w:ind w:left="0" w:right="-57" w:hanging="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/>
          <w:lang w:val="uk-UA"/>
        </w:rPr>
      </w:r>
    </w:p>
    <w:p>
      <w:pPr>
        <w:pStyle w:val="Standard"/>
        <w:shd w:val="clear" w:fill="FFFFFF"/>
        <w:spacing w:lineRule="atLeast" w:line="0"/>
        <w:ind w:left="0" w:right="-57" w:hanging="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/>
          <w:lang w:val="uk-UA"/>
        </w:rPr>
      </w:r>
    </w:p>
    <w:p>
      <w:pPr>
        <w:pStyle w:val="Standard"/>
        <w:shd w:val="clear" w:fill="FFFFFF"/>
        <w:spacing w:lineRule="atLeast" w:line="0"/>
        <w:ind w:left="0" w:right="-57" w:hanging="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/>
          <w:lang w:val="uk-UA"/>
        </w:rPr>
      </w:r>
    </w:p>
    <w:p>
      <w:pPr>
        <w:pStyle w:val="Standard"/>
        <w:shd w:val="clear" w:fill="FFFFFF"/>
        <w:spacing w:lineRule="atLeast" w:line="0"/>
        <w:ind w:left="0" w:right="-57" w:hanging="0"/>
        <w:jc w:val="both"/>
        <w:rPr>
          <w:rFonts w:ascii="Times New Roman" w:hAnsi="Times New Roman"/>
        </w:rPr>
      </w:pPr>
      <w:r>
        <w:rPr>
          <w:rFonts w:cs="Times New Roman"/>
          <w:lang w:val="uk-UA"/>
        </w:rPr>
        <w:t xml:space="preserve">Начальник загального відділу                                                                          </w:t>
      </w:r>
      <w:r>
        <w:rPr>
          <w:rFonts w:eastAsia="Times New Roman" w:cs="Times New Roman"/>
          <w:color w:val="auto"/>
          <w:kern w:val="2"/>
          <w:sz w:val="24"/>
          <w:szCs w:val="24"/>
          <w:lang w:val="uk-UA" w:eastAsia="zh-CN" w:bidi="ar-SA"/>
        </w:rPr>
        <w:t>Вікторія АГАПОВА</w:t>
      </w:r>
    </w:p>
    <w:sectPr>
      <w:type w:val="nextPage"/>
      <w:pgSz w:w="11906" w:h="16838"/>
      <w:pgMar w:left="1732" w:right="588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/>
    </w:lvl>
    <w:lvl w:ilvl="1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  <w:rPr/>
    </w:lvl>
    <w:lvl w:ilvl="2">
      <w:start w:val="1"/>
      <w:numFmt w:val="decimal"/>
      <w:lvlText w:val="%3."/>
      <w:lvlJc w:val="left"/>
      <w:pPr>
        <w:tabs>
          <w:tab w:val="num" w:pos="1610"/>
        </w:tabs>
        <w:ind w:left="1610" w:hanging="360"/>
      </w:pPr>
      <w:rPr/>
    </w:lvl>
    <w:lvl w:ilvl="3">
      <w:start w:val="1"/>
      <w:numFmt w:val="decimal"/>
      <w:lvlText w:val="%4."/>
      <w:lvlJc w:val="left"/>
      <w:pPr>
        <w:tabs>
          <w:tab w:val="num" w:pos="1970"/>
        </w:tabs>
        <w:ind w:left="1970" w:hanging="360"/>
      </w:pPr>
      <w:rPr/>
    </w:lvl>
    <w:lvl w:ilvl="4">
      <w:start w:val="1"/>
      <w:numFmt w:val="decimal"/>
      <w:lvlText w:val="%5."/>
      <w:lvlJc w:val="left"/>
      <w:pPr>
        <w:tabs>
          <w:tab w:val="num" w:pos="2330"/>
        </w:tabs>
        <w:ind w:left="2330" w:hanging="360"/>
      </w:pPr>
      <w:rPr/>
    </w:lvl>
    <w:lvl w:ilvl="5">
      <w:start w:val="1"/>
      <w:numFmt w:val="decimal"/>
      <w:lvlText w:val="%6."/>
      <w:lvlJc w:val="left"/>
      <w:pPr>
        <w:tabs>
          <w:tab w:val="num" w:pos="2690"/>
        </w:tabs>
        <w:ind w:left="2690" w:hanging="360"/>
      </w:pPr>
      <w:rPr/>
    </w:lvl>
    <w:lvl w:ilvl="6">
      <w:start w:val="1"/>
      <w:numFmt w:val="decimal"/>
      <w:lvlText w:val="%7."/>
      <w:lvlJc w:val="left"/>
      <w:pPr>
        <w:tabs>
          <w:tab w:val="num" w:pos="3050"/>
        </w:tabs>
        <w:ind w:left="3050" w:hanging="360"/>
      </w:pPr>
      <w:rPr/>
    </w:lvl>
    <w:lvl w:ilvl="7">
      <w:start w:val="1"/>
      <w:numFmt w:val="decimal"/>
      <w:lvlText w:val="%8."/>
      <w:lvlJc w:val="left"/>
      <w:pPr>
        <w:tabs>
          <w:tab w:val="num" w:pos="3410"/>
        </w:tabs>
        <w:ind w:left="3410" w:hanging="360"/>
      </w:pPr>
      <w:rPr/>
    </w:lvl>
    <w:lvl w:ilvl="8">
      <w:start w:val="1"/>
      <w:numFmt w:val="decimal"/>
      <w:lvlText w:val="%9."/>
      <w:lvlJc w:val="left"/>
      <w:pPr>
        <w:tabs>
          <w:tab w:val="num" w:pos="3770"/>
        </w:tabs>
        <w:ind w:left="377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7">
    <w:name w:val="Интернет-ссылка"/>
    <w:qFormat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character" w:styleId="Style18">
    <w:name w:val="Основной шрифт абзаца"/>
    <w:qFormat/>
    <w:rPr/>
  </w:style>
  <w:style w:type="character" w:styleId="Rvts9">
    <w:name w:val="rvts9"/>
    <w:qFormat/>
    <w:rPr/>
  </w:style>
  <w:style w:type="character" w:styleId="11">
    <w:name w:val="Основной шрифт абзаца1"/>
    <w:qFormat/>
    <w:rPr/>
  </w:style>
  <w:style w:type="character" w:styleId="Strong">
    <w:name w:val="Strong"/>
    <w:qFormat/>
    <w:rPr>
      <w:b/>
      <w:bCs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cs="Arial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5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6">
    <w:name w:val="Обычный (веб)"/>
    <w:basedOn w:val="Normal"/>
    <w:qFormat/>
    <w:pPr>
      <w:spacing w:before="280" w:after="280"/>
    </w:pPr>
    <w:rPr/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BodyText2">
    <w:name w:val="Body Text 2"/>
    <w:basedOn w:val="Normal"/>
    <w:qFormat/>
    <w:pPr>
      <w:spacing w:lineRule="auto" w:line="240"/>
      <w:ind w:firstLine="720"/>
      <w:jc w:val="center"/>
    </w:pPr>
    <w:rPr>
      <w:rFonts w:ascii="Times New Roman" w:hAnsi="Times New Roman" w:eastAsia="Times New Roman" w:cs="Times New Roman"/>
      <w:szCs w:val="20"/>
    </w:rPr>
  </w:style>
  <w:style w:type="paragraph" w:styleId="Style29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uk-UA" w:eastAsia="zh-CN" w:bidi="ar-SA"/>
    </w:rPr>
  </w:style>
  <w:style w:type="paragraph" w:styleId="Style30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115</TotalTime>
  <Application>LibreOffice/7.4.3.2$Windows_X86_64 LibreOffice_project/1048a8393ae2eeec98dff31b5c133c5f1d08b890</Application>
  <AppVersion>15.0000</AppVersion>
  <Pages>2</Pages>
  <Words>451</Words>
  <Characters>2969</Characters>
  <CharactersWithSpaces>3414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2023-04-25T10:02:27Z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