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ПЕРЕЛІК</w:t>
      </w:r>
    </w:p>
    <w:p>
      <w:pPr>
        <w:pStyle w:val="Normal"/>
        <w:ind w:right="-57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рішень чергового засідання виконкому 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pacing w:val="1"/>
          <w:sz w:val="26"/>
          <w:szCs w:val="26"/>
        </w:rPr>
        <w:t>на 20.03</w:t>
      </w:r>
      <w:r>
        <w:rPr>
          <w:rFonts w:cs="Times New Roman" w:ascii="Times New Roman" w:hAnsi="Times New Roman"/>
          <w:b/>
          <w:bCs/>
          <w:spacing w:val="1"/>
          <w:sz w:val="26"/>
          <w:szCs w:val="26"/>
          <w:lang w:val="en-US"/>
        </w:rPr>
        <w:t>.202</w:t>
      </w:r>
      <w:r>
        <w:rPr>
          <w:rFonts w:cs="Times New Roman" w:ascii="Times New Roman" w:hAnsi="Times New Roman"/>
          <w:b/>
          <w:bCs/>
          <w:spacing w:val="1"/>
          <w:sz w:val="26"/>
          <w:szCs w:val="26"/>
        </w:rPr>
        <w:t>4 року</w:t>
      </w:r>
    </w:p>
    <w:tbl>
      <w:tblPr>
        <w:tblW w:w="10500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60"/>
        <w:gridCol w:w="7951"/>
        <w:gridCol w:w="1588"/>
      </w:tblGrid>
      <w:tr>
        <w:trPr>
          <w:trHeight w:val="725" w:hRule="atLeast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jc w:val="center"/>
              <w:rPr/>
            </w:pPr>
            <w:r>
              <w:rPr>
                <w:iCs/>
                <w:color w:val="000000"/>
                <w:lang w:val="uk-UA"/>
              </w:rPr>
              <w:t xml:space="preserve">№ </w:t>
            </w:r>
            <w:r>
              <w:rPr>
                <w:iCs/>
                <w:color w:val="000000"/>
                <w:lang w:val="uk-UA"/>
              </w:rPr>
              <w:t>п/п</w:t>
            </w:r>
          </w:p>
        </w:tc>
        <w:tc>
          <w:tcPr>
            <w:tcW w:w="7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right="22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Назва рішення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підсумки роботи зі зверненнями громадян за 2023 рік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Шульга О.</w:t>
            </w:r>
          </w:p>
        </w:tc>
      </w:tr>
      <w:tr>
        <w:trPr>
          <w:trHeight w:val="683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неповнолітньому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ХХХХ ХХХХ ХХХХ, ХХХХ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bCs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Кружиліну Віктору Сергійовичу, 05.06.2020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1001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855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855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855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малолітньому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ХХХХ ХХХХ ХХХХ, ХХХХ року народження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855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  <w:p>
            <w:pPr>
              <w:pStyle w:val="NoSpacing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ХХХХ ХХХХ ХХХХ, ХХХХ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малолітньому ХХХХ ХХХХ ХХХХ, ХХХХ р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виведення вихованки </w:t>
            </w:r>
            <w:r>
              <w:rPr>
                <w:rFonts w:cs="Times New Roman" w:ascii="Times New Roman" w:hAnsi="Times New Roman"/>
                <w:sz w:val="26"/>
                <w:szCs w:val="26"/>
                <w:lang w:val="ru-RU"/>
              </w:rPr>
              <w:t xml:space="preserve">з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дитячого будинку сімейного типу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(ХХХХ)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встановлення піклування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(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uk-UA" w:eastAsia="ru-RU"/>
              </w:rPr>
              <w:t>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).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</w:t>
            </w:r>
            <w:r>
              <w:rPr>
                <w:rFonts w:cs="Times New Roman" w:ascii="Times New Roman" w:hAnsi="Times New Roman"/>
                <w:sz w:val="26"/>
                <w:szCs w:val="26"/>
                <w:lang w:eastAsia="ru-RU"/>
              </w:rPr>
              <w:t>звільнення від здійснення повноважень опікуна (ХХХХ.).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</w:r>
          </w:p>
        </w:tc>
      </w:tr>
      <w:tr>
        <w:trPr>
          <w:trHeight w:val="1730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114" w:after="314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влаштування малолітньої  року народження до дитячого будинку сімейного типу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року народження,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визначення місця проживання </w:t>
            </w:r>
            <w:r>
              <w:rPr>
                <w:rStyle w:val="1"/>
                <w:rFonts w:cs="Times New Roman" w:ascii="Times New Roman" w:hAnsi="Times New Roman"/>
                <w:sz w:val="26"/>
                <w:szCs w:val="26"/>
                <w:lang w:eastAsia="ru-RU"/>
              </w:rPr>
              <w:t xml:space="preserve">малолітнього </w:t>
            </w:r>
            <w:r>
              <w:rPr>
                <w:rStyle w:val="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ХХХХ ХХХХ ХХХХ, ХХХХ </w:t>
            </w:r>
            <w:r>
              <w:rPr>
                <w:rStyle w:val="1"/>
                <w:rFonts w:cs="Times New Roman" w:ascii="Times New Roman" w:hAnsi="Times New Roman"/>
                <w:sz w:val="26"/>
                <w:szCs w:val="26"/>
                <w:lang w:eastAsia="ru-RU"/>
              </w:rPr>
              <w:t xml:space="preserve">  року народження з батьком,  </w:t>
            </w:r>
            <w:r>
              <w:rPr>
                <w:rStyle w:val="1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ХХХХ ХХХХ ХХХХ, ХХХХ </w:t>
            </w:r>
            <w:r>
              <w:rPr>
                <w:rStyle w:val="1"/>
                <w:rFonts w:cs="Times New Roman" w:ascii="Times New Roman" w:hAnsi="Times New Roman"/>
                <w:sz w:val="26"/>
                <w:szCs w:val="26"/>
                <w:lang w:eastAsia="ru-RU"/>
              </w:rPr>
              <w:t>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before="0" w:after="143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встановлення 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highlight w:val="white"/>
                <w:shd w:fill="FFFFFF" w:val="clear"/>
                <w:lang w:val="ru-RU" w:eastAsia="ru-RU"/>
              </w:rPr>
              <w:t xml:space="preserve">способів участі  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highlight w:val="white"/>
                <w:shd w:fill="FFFFFF" w:val="clear"/>
                <w:lang w:val="ru-RU" w:eastAsia="ru-RU" w:bidi="ar-SA"/>
              </w:rPr>
              <w:t xml:space="preserve">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highlight w:val="white"/>
                <w:shd w:fill="FFFFFF" w:val="clear"/>
                <w:lang w:val="ru-RU" w:eastAsia="ru-RU"/>
              </w:rPr>
              <w:t xml:space="preserve">року народження у вихованні малолітньої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highlight w:val="white"/>
                <w:shd w:fill="FFFFFF" w:val="clear"/>
                <w:lang w:val="ru-RU" w:eastAsia="ru-RU" w:bidi="ar-SA"/>
              </w:rPr>
              <w:t xml:space="preserve">ХХХХ 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highlight w:val="white"/>
                <w:shd w:fill="FFFFFF" w:val="clear"/>
                <w:lang w:val="ru-RU" w:eastAsia="ru-RU"/>
              </w:rPr>
              <w:t xml:space="preserve"> року народження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FFFFFF" w:val="clear"/>
                <w:lang w:val="ru-RU" w:eastAsia="ru-RU"/>
              </w:rPr>
              <w:t>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щодо </w:t>
            </w:r>
            <w:r>
              <w:rPr>
                <w:rStyle w:val="1"/>
                <w:rFonts w:cs="Times New Roman" w:ascii="Times New Roman" w:hAnsi="Times New Roman"/>
                <w:sz w:val="26"/>
                <w:szCs w:val="26"/>
                <w:highlight w:val="white"/>
                <w:lang w:eastAsia="ru-RU"/>
              </w:rPr>
              <w:t xml:space="preserve">доцільності позбавлення батьківських прав </w:t>
            </w:r>
            <w:r>
              <w:rPr>
                <w:rStyle w:val="1"/>
                <w:rFonts w:eastAsia="Times New Roman" w:cs="Times New Roman" w:ascii="Times New Roman" w:hAnsi="Times New Roman"/>
                <w:sz w:val="26"/>
                <w:szCs w:val="26"/>
                <w:highlight w:val="white"/>
                <w:lang w:eastAsia="ru-RU" w:bidi="ar-SA"/>
              </w:rPr>
              <w:t xml:space="preserve">ХХХХ ХХХХ ХХХХ, ХХХХ </w:t>
            </w:r>
            <w:r>
              <w:rPr>
                <w:rStyle w:val="1"/>
                <w:rFonts w:cs="Times New Roman" w:ascii="Times New Roman" w:hAnsi="Times New Roman"/>
                <w:sz w:val="26"/>
                <w:szCs w:val="26"/>
                <w:highlight w:val="white"/>
                <w:lang w:eastAsia="ru-RU"/>
              </w:rPr>
              <w:t xml:space="preserve"> року народження відносно неповнолітньої </w:t>
            </w:r>
            <w:r>
              <w:rPr>
                <w:rStyle w:val="1"/>
                <w:rFonts w:eastAsia="Times New Roman" w:cs="Times New Roman" w:ascii="Times New Roman" w:hAnsi="Times New Roman"/>
                <w:sz w:val="26"/>
                <w:szCs w:val="26"/>
                <w:highlight w:val="white"/>
                <w:lang w:eastAsia="ru-RU" w:bidi="ar-SA"/>
              </w:rPr>
              <w:t xml:space="preserve">ХХХХ ХХХХ ХХХХ, ХХХХ </w:t>
            </w:r>
            <w:r>
              <w:rPr>
                <w:rStyle w:val="1"/>
                <w:rFonts w:cs="Times New Roman" w:ascii="Times New Roman" w:hAnsi="Times New Roman"/>
                <w:sz w:val="26"/>
                <w:szCs w:val="26"/>
                <w:highlight w:val="white"/>
                <w:lang w:eastAsia="ru-RU"/>
              </w:rPr>
              <w:t xml:space="preserve"> року народження</w:t>
            </w:r>
            <w:r>
              <w:rPr>
                <w:rStyle w:val="1"/>
                <w:rFonts w:cs="Times New Roman"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</w:t>
            </w:r>
            <w:r>
              <w:rPr>
                <w:rFonts w:cs="Times New Roman" w:ascii="Times New Roman" w:hAnsi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надання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дозволу</w:t>
            </w: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на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укладання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договору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дарування 2/3 часток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квартири (ХХХХХ).</w:t>
            </w:r>
          </w:p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6"/>
                <w:lang w:eastAsia="en-US"/>
              </w:rPr>
              <w:t>Про надання дозволу на укладання договору про припинення права на аліменти для дитини у зв'язку з передачею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ХХХХ ХХХХ ХХХХ, ХХХХ </w:t>
            </w:r>
            <w:r>
              <w:rPr>
                <w:rFonts w:eastAsia="Calibri" w:cs="Times New Roman" w:ascii="Times New Roman" w:hAnsi="Times New Roman"/>
                <w:color w:val="000000"/>
                <w:sz w:val="26"/>
                <w:szCs w:val="26"/>
                <w:lang w:eastAsia="en-US"/>
              </w:rPr>
              <w:t xml:space="preserve">  року народження права власності на 1/2 частини квартири на користь малолітньої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ХХХХ ХХХХ ХХХХ, ХХХХ </w:t>
            </w:r>
            <w:r>
              <w:rPr>
                <w:rFonts w:eastAsia="Calibri" w:cs="Times New Roman" w:ascii="Times New Roman" w:hAnsi="Times New Roman"/>
                <w:color w:val="000000"/>
                <w:sz w:val="26"/>
                <w:szCs w:val="26"/>
                <w:lang w:eastAsia="en-US"/>
              </w:rPr>
              <w:t xml:space="preserve"> року народження.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затвердження тарифів на соціальні послуги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/>
              <w:t>Відяєва Г.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затвердження штатного розпису територіального центру соціального обслуговування (надання соціальних послуг) Покровської міської ради Дніпропетровської області з 01.04. 2024 року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/>
              <w:t>Відяєва Г.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погодження штатного розпису комунального підприємства «Центральна міська лікарня Покровської міської ради Дніпропетровської області» з 01.04.2024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/>
              <w:t>Відяєва Г.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погодження Фінансового плану комунального підприємства «Центральна міська лікарня Покровської міської ради Дніпропетровської області» на 2024 рік у новій редакції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/>
              <w:t>Відяєва Г.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внесення змін до рішення виконавчого комітету Покровської міської ради від 31.01.2024 №106/06-53-24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/>
              <w:t>Відяєва Г.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скасування рішення виконавчого комітету від 19.02.2024 №155/06-53-24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/>
              <w:t>Відяєва Г.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скасування рішення виконавчого комітету від 28.08.2019 №351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затвердження проектно-кошторисної документації за робочим проектом: «Нове будівництво захисної споруди цивільного захисту для КЗДО №2 «ДИВОСВІТ» (ясла-садок) Покровської міської ради Дніпропетровської області» за адресою: вул. Малки Івана, 1а, м.Покров, Нікопольський район, Дніпропетровська область»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/>
              <w:t>Відяєва Г.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затвердження проектно-кошторисної документації за робочим проектом: «Нове будівництво захисної споруди цивільного захисту КЗДО №13 «МАЛЯТКО» (ясла-садок) Покровської міської ради Дніпропетровської області» за адресою: вул. Героїв України, 6-А, м. Покров, Нікопольський район, Дніпропетровська область»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/>
              <w:t>Відяєва Г.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полив присадибних та садових ділянок мешканцями Покровської міської територіальної громади в поливний сезон 2024 року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Солянко В.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погодження штатного розпису Покровського міського комунального підприємства «Добробут» на 2024 рік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/>
              <w:t>Солянко В.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погодження штатного розпису Покровського міського комунального підприємства «ЖИТЛКОМСЕРВІС» на 2024 рік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/>
              <w:t>Солянко В.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включення до Переліку першого типу нежитлових будівель, розташованих за адресою: м.Покров, вул. Космічна, 1а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погодження продовження терміну користування місцем розміщення тимчасової споруди в районі будинку № 13 на вул. Соборній ФОП Багдасарян Т.С.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погодження користування місцем розміщення тимчасової споруди - збірного залізобетонного гаража в районі будинку № 7а на вул. Соборній Стовбі Л.А.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погодження продовження терміну користування місцем розміщення тимчасової споруди в районі будинку № 114 на вул. Шляховій ФОП Калюці О.В.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погодження продовження терміну користування місцем розміщення тимчасової споруди в районі залізничної станції «Чортомлик» на вул. Вокзальній ФОП Пуляшкіну В.Є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погодження продовження терміну користування місцем розміщення тимчасової споруди в районі будинку № 15 на вул. Київській ФОП Бойко Л.В.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припинення дії дозвільних документів на розміщення тимчасової споруди - торговельного павільйону в районі магазину «АТБ» на вул. Джонсона Бориса ФОП Мігулі Ю.К.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погодження користування місцем розміщення тимчасової споруди в районі магазину «АТБ» на вул. Джонсона Бориса ФОП Удоду Є.М.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погодження продовження терміну користування місцем розміщення групи тимчасових споруд в районі будівлі № 15 на вул. Малки Івана ТОВ «Стройінвест»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погодження продовження терміну користування місцем розміщення тимчасової споруди - збірного залізобетонного гаража Бущуку С.А.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погодження продовження терміну користування місцем розміщення тимчасової споруди - збірного залізобетонного гаража Ігнатюк Т.М.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погодження продовження терміну користування місцем розміщення тимчасової споруди - металевого гаража Фесенку В.В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продовження дії дозволу на розміщення рекламної конструкції - білборду в районі перехрестя вул. Героїв України та                           вул. Чіатурської ФОП Ткаченку Я.П.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погодження влаштування засобів безперешкодного доступу для осіб з інвалідністю та інших маломобільних груп населення до Торговельного комплексу на вул. Соборній 11-А ФОП Санталову А. С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/>
              <w:t>Чистяков О.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затвердження Порядку складання актів та видачі довідок щодо проживання громадян на території Покровської міської територіальної громади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Маглиш А.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Про розподіл житла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/>
              <w:t>Маглиш А.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продовження строку дії договору найму соціального житла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/>
              <w:t>Маглиш А.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переукладання договорів найму житлового приміщення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Маглиш А.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затвердження складу спостережної комісії при виконавчому комітеті Покровської міської ради Дніпропетровської області у новій редакції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Шульга О.</w:t>
            </w:r>
          </w:p>
        </w:tc>
      </w:tr>
      <w:tr>
        <w:trPr>
          <w:trHeight w:val="618" w:hRule="atLeast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795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pacing w:before="57" w:after="57"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Про надання матеріальної грошової допомоги </w:t>
            </w:r>
          </w:p>
        </w:tc>
        <w:tc>
          <w:tcPr>
            <w:tcW w:w="1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Курасов С.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sz w:val="26"/>
          <w:szCs w:val="26"/>
          <w:lang w:eastAsia="en-US" w:bidi="ar-SA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  <w:lang w:eastAsia="en-US" w:bidi="ar-SA"/>
        </w:rPr>
        <w:t xml:space="preserve">     </w:t>
      </w:r>
      <w:r>
        <w:rPr>
          <w:rFonts w:eastAsia="Calibri" w:cs="Times New Roman" w:ascii="Times New Roman" w:hAnsi="Times New Roman"/>
          <w:sz w:val="26"/>
          <w:szCs w:val="26"/>
          <w:lang w:eastAsia="en-US" w:bidi="ar-SA"/>
        </w:rPr>
        <w:t>Начальник загального відділу                                                                  Вікторія АГАПОВА</w:t>
      </w:r>
    </w:p>
    <w:sectPr>
      <w:type w:val="nextPage"/>
      <w:pgSz w:w="11906" w:h="16838"/>
      <w:pgMar w:left="1134" w:right="424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3646</TotalTime>
  <Application>LibreOffice/7.4.3.2$Windows_X86_64 LibreOffice_project/1048a8393ae2eeec98dff31b5c133c5f1d08b890</Application>
  <AppVersion>15.0000</AppVersion>
  <Pages>6</Pages>
  <Words>1607</Words>
  <Characters>10023</Characters>
  <CharactersWithSpaces>11570</CharactersWithSpaces>
  <Paragraphs>239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cp:lastPrinted>2024-02-12T11:12:46Z</cp:lastPrinted>
  <dcterms:modified xsi:type="dcterms:W3CDTF">2024-03-19T10:53:41Z</dcterms:modified>
  <cp:revision>218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