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Порядок денний 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чергового засідання  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виконавчого комітету Покровської міської ради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035" w:type="dxa"/>
        <w:jc w:val="left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30"/>
        <w:gridCol w:w="6935"/>
        <w:gridCol w:w="2670"/>
      </w:tblGrid>
      <w:tr>
        <w:trPr>
          <w:trHeight w:val="450" w:hRule="atLeast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uk-UA"/>
              </w:rPr>
              <w:t>№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uk-UA"/>
              </w:rPr>
              <w:t>Назва рішення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uk-UA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100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fill="auto" w:val="clear"/>
                <w:lang w:val="uk-UA"/>
              </w:rPr>
              <w:t>1. Блок Питання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fill="auto" w:val="clear"/>
                <w:lang w:val="uk-UA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fill="auto" w:val="clear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Про схвалення звіту про виконання бюджету Покровської міської територіальної громади Дніпропетровської області за 2025 рік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Тетяна МІЩЕНКО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1B1B1B"/>
                <w:sz w:val="28"/>
                <w:szCs w:val="28"/>
                <w:shd w:fill="auto" w:val="clear"/>
              </w:rPr>
              <w:t>Про затвердження проектно-кошторисної документації по об’єкту: «Реконструкція очисних споруд каналізації МКП «Покровводоканал» у м.Покров Дніпропетровської області». Коригування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 затвердження рішення №14 від 13.02.2026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8"/>
                <w:szCs w:val="28"/>
                <w:shd w:fill="FFFFFF" w:val="clear"/>
              </w:rPr>
              <w:t>Про затвердження рішення №15 від 13.02.2026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8"/>
                <w:szCs w:val="28"/>
                <w:shd w:fill="FFFFFF" w:val="clear"/>
              </w:rPr>
              <w:t>Про затвердження рішення №16 від 13.02.2026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8"/>
                <w:szCs w:val="28"/>
                <w:shd w:fill="FFFFFF" w:val="clear"/>
              </w:rPr>
              <w:t>Про затвердження рішення №17 від 13.02.2026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 затвердження рішення № 8 від 13.02.2026 Комісії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про відмову у наданні компенсації за пошкоджені/знищені об’єкти нерухомого майна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Про виключення об'єкту нерухомого майна з Переліку першого типу об’єктів комунальної власності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Про внесення змін до рішення виконавчого комітету Покровської міської ради від 19.01.2026 №13/06-53-26 «Про затвердження оновлених штатних розписів працівників закладів освіти міста з 01.01.2026»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Про погодження продовження строку користування місцем розміщення тимчасової споруди біля будинку № 10 на вул. Тикви ФОП Петровичу В.Г.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Про погодження продовження строку користування місцем розміщення тимчасової споруди біля будинку № 11 на вул. Середи ФОП Петровичу В.Г.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Про погодження продовження строку користування місцем розміщення тимчасової споруди біля будинку № 52 на вул. Центральній ФОП Петровичу В.Г.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Про погодження продовження строку користування місцем розміщення групи тимчасових споруд біля будинку № 232 на вул. Шляховій ФОП Петровичу В.Г.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Про погодження продовження строку користування місцем розміщення тимчасової споруди біля автобусної зупинки «Міська лікарня» на вул. Героїв України ФОП Петровичу В.Г.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Про погодження продовження терміну користування місцем розміщення групи тимчасових споруд на вул. Партизанській, 1/7 ПВКП «Промтехснаб»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 xml:space="preserve">Про погодження продовження строку користування місцем розміщення тимчасової споруди біля будинку №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хх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 xml:space="preserve"> на вул.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 xml:space="preserve">Хххххх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 xml:space="preserve"> Нечипоренко Д.В.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1"/>
                <w:rFonts w:ascii="Times New Roman" w:hAnsi="Times New Roman"/>
                <w:b w:val="false"/>
                <w:bCs w:val="false"/>
                <w:sz w:val="28"/>
                <w:szCs w:val="28"/>
              </w:rPr>
              <w:t xml:space="preserve">Про переукладання договору найму житлового приміщення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 xml:space="preserve">Про переукладання договору найму житлового приміщення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Про взяття на облік громадян, які потребують поліпшення житлових умов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Про продовження строку дії договору найму соціального житла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 xml:space="preserve">Про надання кімнати в соціальному гуртожитку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 xml:space="preserve">Про надання кімнати в соціальному гуртожитку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Про розподіл житла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МАГЛИШ</w:t>
            </w:r>
          </w:p>
        </w:tc>
      </w:tr>
      <w:tr>
        <w:trPr>
          <w:trHeight w:val="1138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1"/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uk-UA" w:eastAsia="zh-CN" w:bidi="hi-IN"/>
              </w:rPr>
              <w:t>Про відпуск матеріальних цінностей з міського матеріального резерву Покровської міської територіальної громади для забезпечення безперебійної роботи медичних установ, виконавчого комітету Покровської міської ради, адміністративної будівлі Шолоховського старостинського округу, об’єктів соціальної сфери та пункту незламності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Сергій КУРАСОВ</w:t>
            </w:r>
          </w:p>
        </w:tc>
      </w:tr>
      <w:tr>
        <w:trPr>
          <w:trHeight w:val="45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uk-UA" w:eastAsia="zh-CN" w:bidi="hi-IN"/>
              </w:rPr>
              <w:t>Про надання матеріальної грошової допомоги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Сергій КУРАСОВ</w:t>
            </w:r>
          </w:p>
        </w:tc>
      </w:tr>
      <w:tr>
        <w:trPr>
          <w:trHeight w:val="683" w:hRule="atLeast"/>
        </w:trPr>
        <w:tc>
          <w:tcPr>
            <w:tcW w:w="100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89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2.Блок питань з обмеженим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spacing w:val="0"/>
                <w:sz w:val="28"/>
                <w:szCs w:val="28"/>
                <w:lang w:val="uk-UA" w:eastAsia="zh-CN" w:bidi="ar-SA"/>
              </w:rPr>
              <w:t>відповідно</w:t>
            </w:r>
          </w:p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89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зміну статусу дитини, позбавленої батьківського піклування на статус дитини-сироти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 ГОРЧАКОВА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призначення опікуна над майном неповнолітньої дитини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 ГОРЧАКОВА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припинення опіки над майном дитини, позбавленої батьківського піклування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 ГОРЧАКОВА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затвердження висновку органу опіки та піклування Покровської міської ради Дніпропетровської області щодо доцільності позбавлення батьківських прав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ХХХ ХХ ХХ, хх.хх.хххх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року народження відносно малолітніх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ХХХ ХХ ХХ, хх.хх.хххх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року народження,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ХХХ ХХ ХХ, хх.хх.хххх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року народження,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ХХХ ХХ ХХ, хх.хх.хххх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року народження та позбавлення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ХХХ ХХ ХХ, хх.хх.хххх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року народження відносно малолітньої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ХХХ ХХ ХХ, хх.хх.хххх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року народження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 ГОРЧАКОВА</w:t>
            </w:r>
          </w:p>
        </w:tc>
      </w:tr>
    </w:tbl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0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trike w:val="false"/>
          <w:dstrike w:val="false"/>
          <w:color w:val="000000"/>
          <w:sz w:val="28"/>
          <w:szCs w:val="28"/>
          <w:lang w:val="uk-UA"/>
        </w:rPr>
        <w:t xml:space="preserve">Начальник загального відділу </w:t>
        <w:tab/>
        <w:t xml:space="preserve"> </w:t>
        <w:tab/>
        <w:t xml:space="preserve">                   Оксана ТОВКАНЬ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nsola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vts9" w:customStyle="1">
    <w:name w:val="rvts9"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1"/>
    <w:qFormat/>
    <w:rPr/>
  </w:style>
  <w:style w:type="character" w:styleId="12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Pr/>
  </w:style>
  <w:style w:type="character" w:styleId="HTML" w:customStyle="1">
    <w:name w:val="Стандартний HTML Знак"/>
    <w:basedOn w:val="DefaultParagraphFont"/>
    <w:uiPriority w:val="99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character" w:styleId="Style14" w:customStyle="1">
    <w:name w:val="Основной шрифт абзаца"/>
    <w:qFormat/>
    <w:rsid w:val="00f630ea"/>
    <w:rPr/>
  </w:style>
  <w:style w:type="character" w:styleId="Style15">
    <w:name w:val="Символ нумерації"/>
    <w:qFormat/>
    <w:rPr/>
  </w:style>
  <w:style w:type="character" w:styleId="Style16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Style17">
    <w:name w:val="Текст Знак"/>
    <w:qFormat/>
    <w:rPr>
      <w:rFonts w:ascii="Courier New" w:hAnsi="Courier New" w:cs="Courier New"/>
    </w:rPr>
  </w:style>
  <w:style w:type="character" w:styleId="Style18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0">
    <w:name w:val="WW8Num5z0"/>
    <w:qFormat/>
    <w:rPr>
      <w:rFonts w:cs="Times New Roman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character" w:styleId="Strong">
    <w:name w:val="Strong"/>
    <w:qFormat/>
    <w:rPr>
      <w:b/>
      <w:bCs/>
    </w:rPr>
  </w:style>
  <w:style w:type="character" w:styleId="Strong1">
    <w:name w:val="Strong1"/>
    <w:qFormat/>
    <w:rPr>
      <w:b/>
      <w:bCs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qFormat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TMLPreformatted">
    <w:name w:val="HTML Preformatted"/>
    <w:basedOn w:val="Normal"/>
    <w:uiPriority w:val="99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24" w:customStyle="1">
    <w:name w:val="Вміст таблиці"/>
    <w:basedOn w:val="Normal"/>
    <w:qFormat/>
    <w:pPr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yle26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14" w:customStyle="1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 w:customStyle="1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7" w:customStyle="1">
    <w:name w:val="Обычный"/>
    <w:qFormat/>
    <w:rsid w:val="00f630e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uk-UA" w:eastAsia="zh-CN" w:bidi="hi-IN"/>
    </w:rPr>
  </w:style>
  <w:style w:type="paragraph" w:styleId="Style28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11">
    <w:name w:val="Основной текст 21"/>
    <w:basedOn w:val="Normal"/>
    <w:qFormat/>
    <w:pPr>
      <w:ind w:firstLine="720"/>
      <w:jc w:val="center"/>
    </w:pPr>
    <w:rPr/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Style29">
    <w:name w:val="Содержимое таблицы"/>
    <w:basedOn w:val="Normal"/>
    <w:qFormat/>
    <w:pPr>
      <w:widowControl w:val="false"/>
    </w:pPr>
    <w:rPr>
      <w:rFonts w:eastAsia="WenQuanYi Micro Hei" w:cs="Lohit Hindi"/>
      <w:lang w:val="ru-RU" w:bidi="hi-IN"/>
    </w:rPr>
  </w:style>
  <w:style w:type="paragraph" w:styleId="Style30">
    <w:name w:val="Текст выноски"/>
    <w:basedOn w:val="Normal"/>
    <w:qFormat/>
    <w:pPr>
      <w:widowControl w:val="false"/>
    </w:pPr>
    <w:rPr>
      <w:rFonts w:ascii="Tahoma" w:hAnsi="Tahoma" w:eastAsia="WenQuanYi Micro Hei" w:cs="Mangal"/>
      <w:sz w:val="16"/>
      <w:szCs w:val="14"/>
      <w:lang w:val="ru-RU" w:bidi="hi-IN"/>
    </w:rPr>
  </w:style>
  <w:style w:type="paragraph" w:styleId="Style31">
    <w:name w:val="Название объекта"/>
    <w:basedOn w:val="Normal"/>
    <w:qFormat/>
    <w:pPr>
      <w:spacing w:before="120" w:after="120"/>
    </w:pPr>
    <w:rPr>
      <w:rFonts w:cs="Arial"/>
      <w:i/>
      <w:iCs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paragraph" w:styleId="NormalWeb">
    <w:name w:val="Normal (Web)"/>
    <w:basedOn w:val="Normal"/>
    <w:qFormat/>
    <w:pPr>
      <w:widowControl w:val="false"/>
      <w:suppressAutoHyphens w:val="true"/>
      <w:spacing w:lineRule="auto" w:line="240" w:before="280" w:after="280"/>
    </w:pPr>
    <w:rPr>
      <w:rFonts w:eastAsia="Andale Sans UI"/>
      <w:kern w:val="2"/>
      <w:sz w:val="24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8C30-999F-4CFA-9B9E-7913523D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7586</TotalTime>
  <Application>LibreOffice/7.4.3.2$Windows_X86_64 LibreOffice_project/1048a8393ae2eeec98dff31b5c133c5f1d08b890</Application>
  <AppVersion>15.0000</AppVersion>
  <Pages>3</Pages>
  <Words>657</Words>
  <Characters>4455</Characters>
  <CharactersWithSpaces>5045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uk-UA</dc:language>
  <cp:lastModifiedBy/>
  <cp:lastPrinted>2026-02-13T15:10:42Z</cp:lastPrinted>
  <dcterms:modified xsi:type="dcterms:W3CDTF">2026-02-13T15:20:34Z</dcterms:modified>
  <cp:revision>460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F22C43A560294170B0894F03E13E6713_12</vt:lpwstr>
  </property>
  <property fmtid="{D5CDD505-2E9C-101B-9397-08002B2CF9AE}" pid="3" name="KSOProductBuildVer">
    <vt:lpwstr>1049-12.2.0.18607</vt:lpwstr>
  </property>
</Properties>
</file>