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11.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02.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525" w:type="dxa"/>
        <w:jc w:val="left"/>
        <w:tblInd w:w="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1"/>
        <w:gridCol w:w="1419"/>
        <w:gridCol w:w="5550"/>
        <w:gridCol w:w="1934"/>
      </w:tblGrid>
      <w:tr>
        <w:trPr>
          <w:trHeight w:val="390" w:hRule="atLeast"/>
        </w:trPr>
        <w:tc>
          <w:tcPr>
            <w:tcW w:w="62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</w:r>
          </w:p>
        </w:tc>
        <w:tc>
          <w:tcPr>
            <w:tcW w:w="55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1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Назва рішення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6"/>
                <w:szCs w:val="26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41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55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0" w:right="0" w:hanging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shd w:fill="auto" w:val="clear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shd w:fill="auto" w:val="clear"/>
                <w:lang w:val="ru-RU" w:eastAsia="ru-RU"/>
              </w:rPr>
              <w:t>Про затвердження умов оренди вбудованого нежитлового приміщення, розташованого по вул.Чехова, 15, м.Покров, включеного до Переліку першого типу.</w:t>
            </w:r>
          </w:p>
        </w:tc>
        <w:tc>
          <w:tcPr>
            <w:tcW w:w="193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42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55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napToGrid w:val="false"/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Про укладення договору оренди нежитлового приміщення в адміністративній будівлі загальною площею 10,1 кв.м., розташованого по вул. Центральна, 48 в м.Покров, включеного до Переліку другого типу.</w:t>
            </w:r>
          </w:p>
        </w:tc>
        <w:tc>
          <w:tcPr>
            <w:tcW w:w="193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62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rFonts w:cs="Times New Roman"/>
                <w:iCs/>
                <w:color w:val="111111"/>
                <w:sz w:val="26"/>
                <w:szCs w:val="26"/>
                <w:lang w:val="uk-UA"/>
              </w:rPr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43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55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eastAsia="ru-RU"/>
              </w:rPr>
              <w:t>Про задоволення заяви КП “ОЦЕМД та МК” ДОР” щодо збільшення строку оренди з метою приведення строку дії договору у відповідність із визначеним законодавством мінімальним строком.</w:t>
            </w:r>
          </w:p>
        </w:tc>
        <w:tc>
          <w:tcPr>
            <w:tcW w:w="193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napToGrid w:val="false"/>
              <w:spacing w:lineRule="auto" w:line="276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ar-SA"/>
              </w:rPr>
              <w:t>ЧИСТЯКОВ О.</w:t>
            </w:r>
          </w:p>
        </w:tc>
      </w:tr>
      <w:tr>
        <w:trPr>
          <w:trHeight w:val="425" w:hRule="atLeast"/>
        </w:trPr>
        <w:tc>
          <w:tcPr>
            <w:tcW w:w="62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44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55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40" w:before="0" w:after="0"/>
              <w:ind w:left="0" w:right="113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Про завершення визначеного у договорі про патронат строку перебування дітей у сім’ї патронатного вихователя.</w:t>
            </w:r>
          </w:p>
        </w:tc>
        <w:tc>
          <w:tcPr>
            <w:tcW w:w="193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ВІДЯЄВА Г. </w:t>
            </w:r>
          </w:p>
        </w:tc>
      </w:tr>
      <w:tr>
        <w:trPr>
          <w:trHeight w:val="428" w:hRule="atLeast"/>
        </w:trPr>
        <w:tc>
          <w:tcPr>
            <w:tcW w:w="62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45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55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завершення визначеного у договорі про патронат строку  перебування дітей у сім’ї патронатного вихователя.</w:t>
            </w:r>
          </w:p>
        </w:tc>
        <w:tc>
          <w:tcPr>
            <w:tcW w:w="193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 xml:space="preserve">ВІДЯЄВА Г. </w:t>
            </w:r>
          </w:p>
        </w:tc>
      </w:tr>
      <w:tr>
        <w:trPr>
          <w:trHeight w:val="428" w:hRule="atLeast"/>
        </w:trPr>
        <w:tc>
          <w:tcPr>
            <w:tcW w:w="62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46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55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napToGrid w:val="false"/>
              <w:spacing w:lineRule="auto" w:line="276" w:before="0" w:after="0"/>
              <w:ind w:left="0" w:right="0" w:hanging="0"/>
              <w:contextualSpacing/>
              <w:jc w:val="both"/>
              <w:textAlignment w:val="auto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shd w:fill="auto" w:val="clear"/>
                <w:lang w:val="uk-UA" w:eastAsia="ru-RU" w:bidi="ar-SA"/>
              </w:rPr>
              <w:t>Про скасування рішення виконавчого комітету Покрівської міської ради № 534/06-53-21 від 16.11.2021</w:t>
            </w:r>
          </w:p>
        </w:tc>
        <w:tc>
          <w:tcPr>
            <w:tcW w:w="193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1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ШАПОВАЛ О.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76"/>
        <w:ind w:left="0" w:right="0" w:hanging="0"/>
        <w:jc w:val="both"/>
        <w:rPr>
          <w:sz w:val="28"/>
          <w:szCs w:val="28"/>
          <w:shd w:fill="auto" w:val="clear"/>
        </w:rPr>
      </w:pPr>
      <w:r>
        <w:rPr/>
      </w:r>
    </w:p>
    <w:sectPr>
      <w:type w:val="nextPage"/>
      <w:pgSz w:w="11906" w:h="16838"/>
      <w:pgMar w:left="1740" w:right="521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Bookman Old Style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Style18">
    <w:name w:val="Hyperlink"/>
    <w:qFormat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9">
    <w:name w:val="Основной шрифт абзаца"/>
    <w:qFormat/>
    <w:rPr/>
  </w:style>
  <w:style w:type="character" w:styleId="Rvts9">
    <w:name w:val="rvts9"/>
    <w:qFormat/>
    <w:rPr/>
  </w:style>
  <w:style w:type="character" w:styleId="1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Arial"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6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7">
    <w:name w:val="Обычный (веб)"/>
    <w:basedOn w:val="Normal"/>
    <w:qFormat/>
    <w:pPr>
      <w:spacing w:before="280" w:after="280"/>
    </w:pPr>
    <w:rPr/>
  </w:style>
  <w:style w:type="paragraph" w:styleId="Style28">
    <w:name w:val="Содержимое таблицы"/>
    <w:basedOn w:val="Normal"/>
    <w:qFormat/>
    <w:pPr>
      <w:widowControl w:val="false"/>
      <w:suppressLineNumbers/>
    </w:pPr>
    <w:rPr/>
  </w:style>
  <w:style w:type="paragraph" w:styleId="Style29">
    <w:name w:val="Заголовок таблицы"/>
    <w:basedOn w:val="Style28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4">
    <w:name w:val="заголовок 4"/>
    <w:basedOn w:val="Normal"/>
    <w:next w:val="Normal"/>
    <w:qFormat/>
    <w:pPr>
      <w:keepNext w:val="true"/>
      <w:suppressAutoHyphens w:val="false"/>
      <w:spacing w:lineRule="auto" w:line="240" w:before="0" w:after="0"/>
      <w:ind w:left="0" w:right="0" w:firstLine="1701"/>
      <w:jc w:val="both"/>
    </w:pPr>
    <w:rPr>
      <w:rFonts w:ascii="Bookman Old Style" w:hAnsi="Bookman Old Style" w:eastAsia="Times New Roman" w:cs="Bookman Old Style"/>
      <w:kern w:val="2"/>
      <w:sz w:val="27"/>
      <w:szCs w:val="27"/>
      <w:lang w:val="ru-RU"/>
    </w:rPr>
  </w:style>
  <w:style w:type="paragraph" w:styleId="Style30">
    <w:name w:val="Вміст рамки"/>
    <w:basedOn w:val="Normal"/>
    <w:qFormat/>
    <w:pPr/>
    <w:rPr/>
  </w:style>
  <w:style w:type="paragraph" w:styleId="Style31">
    <w:name w:val="Вміст таблиці"/>
    <w:basedOn w:val="Normal"/>
    <w:qFormat/>
    <w:pPr>
      <w:widowControl w:val="false"/>
      <w:suppressLineNumbers/>
    </w:pPr>
    <w:rPr/>
  </w:style>
  <w:style w:type="paragraph" w:styleId="Style32">
    <w:name w:val="Заголовок таблиці"/>
    <w:basedOn w:val="Style31"/>
    <w:qFormat/>
    <w:pPr>
      <w:suppressLineNumbers/>
      <w:jc w:val="center"/>
    </w:pPr>
    <w:rPr>
      <w:b/>
      <w:bCs/>
    </w:rPr>
  </w:style>
  <w:style w:type="paragraph" w:styleId="Style33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4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35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752</TotalTime>
  <Application>LibreOffice/7.4.3.2$Windows_X86_64 LibreOffice_project/1048a8393ae2eeec98dff31b5c133c5f1d08b890</Application>
  <AppVersion>15.0000</AppVersion>
  <Pages>1</Pages>
  <Words>146</Words>
  <Characters>966</Characters>
  <CharactersWithSpaces>1087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2023-04-25T09:55:27Z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