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рішень  позачергового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06.03.2026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"/>
        <w:gridCol w:w="6317"/>
        <w:gridCol w:w="3288"/>
      </w:tblGrid>
      <w:tr>
        <w:trPr>
          <w:trHeight w:val="450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№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28069281"/>
            <w:r>
              <w:rPr>
                <w:rFonts w:ascii="Times New Roman" w:hAnsi="Times New Roman"/>
                <w:sz w:val="28"/>
                <w:szCs w:val="28"/>
              </w:rPr>
              <w:t>Про надання дозволу управлінню освіти виконавчого комітету Покровської міської ради на коригування проектно-кошторисної документації за робочим проєктом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«Нове будівництво захисної споруди цивільного захисту КЗДО №22 (ясла-садок) Покровської міської ради Дніпропетровської області» за адресою: вул. Джонсона Бориса, 29, м.Покров, Нікопольський район, Дніпропетровська область»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1B1B1B"/>
                <w:sz w:val="28"/>
                <w:szCs w:val="28"/>
                <w:shd w:fill="auto" w:val="clear"/>
              </w:rPr>
              <w:t>Про продовження договору оренди комунального майна №90/21 від 14.05.2021, укладеного з Приватним виробничо-комерційним підприємст-вом “ПРОМТЕХСНАБ”, без проведення аукціону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 затвердження умов оренди частини приміщення холу нежитлової будівлі головного хірургічного корпусу загальною площею 30,2 кв.м. по вул.Медична, 19в в м.Покров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неповнолітній </w:t>
            </w:r>
            <w:r>
              <w:rPr>
                <w:rFonts w:ascii="Times New Roman" w:hAnsi="Times New Roman"/>
                <w:sz w:val="28"/>
                <w:szCs w:val="28"/>
              </w:rPr>
              <w:t>ХХХ ХХ ХХ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хх.хх.хххх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встановлення піклування 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встановлення піклування 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Оксана ТОВКАНЬ</w:t>
      </w:r>
    </w:p>
    <w:sectPr>
      <w:type w:val="nextPage"/>
      <w:pgSz w:w="11906" w:h="16838"/>
      <w:pgMar w:left="1701" w:right="567" w:gutter="0" w:header="0" w:top="525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7768</TotalTime>
  <Application>LibreOffice/7.4.3.2$Windows_X86_64 LibreOffice_project/1048a8393ae2eeec98dff31b5c133c5f1d08b890</Application>
  <AppVersion>15.0000</AppVersion>
  <Pages>1</Pages>
  <Words>167</Words>
  <Characters>1210</Characters>
  <CharactersWithSpaces>1374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2026-03-05T17:03:00Z</cp:lastPrinted>
  <dcterms:modified xsi:type="dcterms:W3CDTF">2026-03-09T14:00:23Z</dcterms:modified>
  <cp:revision>466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