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0"/>
        <w:shd w:fill="FFFFFF"/>
        <w:spacing w:lineRule="auto" w:line="276" w:before="0" w:after="140"/>
        <w:ind w:left="0" w:right="-57" w:hanging="0"/>
        <w:contextualSpacing/>
        <w:jc w:val="center"/>
        <w:rPr>
          <w:lang w:val="uk-UA"/>
        </w:rPr>
      </w:pPr>
      <w:r>
        <w:rPr>
          <w:rFonts w:eastAsia="Times New Roman" w:cs="Times New Roman" w:ascii="Times New Roman" w:hAnsi="Times New Roman"/>
          <w:b/>
          <w:bCs/>
          <w:i w:val="false"/>
          <w:caps w:val="false"/>
          <w:smallCaps w:val="false"/>
          <w:strike w:val="false"/>
          <w:dstrike w:val="false"/>
          <w:color w:val="000000"/>
          <w:spacing w:val="1"/>
          <w:kern w:val="2"/>
          <w:sz w:val="28"/>
          <w:szCs w:val="28"/>
          <w:shd w:fill="auto" w:val="clear"/>
          <w:lang w:val="uk-UA" w:eastAsia="ru-RU" w:bidi="ar-SA"/>
        </w:rPr>
        <w:t>П</w:t>
      </w:r>
      <w:r>
        <w:rPr>
          <w:rFonts w:cs="Times New Roman" w:ascii="Times New Roman" w:hAnsi="Times New Roman"/>
          <w:b/>
          <w:bCs/>
          <w:i w:val="false"/>
          <w:caps w:val="false"/>
          <w:smallCaps w:val="false"/>
          <w:strike w:val="false"/>
          <w:dstrike w:val="false"/>
          <w:color w:val="000000"/>
          <w:spacing w:val="1"/>
          <w:sz w:val="28"/>
          <w:szCs w:val="28"/>
          <w:lang w:val="uk-UA"/>
        </w:rPr>
        <w:t>орядок денний</w:t>
      </w:r>
    </w:p>
    <w:p>
      <w:pPr>
        <w:pStyle w:val="Normal"/>
        <w:shd w:val="clear" w:fill="FFFFFF"/>
        <w:bidi w:val="0"/>
        <w:spacing w:lineRule="atLeast" w:line="0" w:before="0" w:after="140"/>
        <w:ind w:left="0" w:right="-57" w:hanging="0"/>
        <w:contextualSpacing/>
        <w:jc w:val="center"/>
        <w:rPr>
          <w:rFonts w:ascii="Times New Roman" w:hAnsi="Times New Roman"/>
          <w:sz w:val="28"/>
          <w:szCs w:val="28"/>
        </w:rPr>
      </w:pPr>
      <w:r>
        <w:rPr>
          <w:rFonts w:ascii="Times New Roman" w:hAnsi="Times New Roman"/>
          <w:b/>
          <w:bCs/>
          <w:i w:val="false"/>
          <w:caps w:val="false"/>
          <w:smallCaps w:val="false"/>
          <w:color w:val="000000"/>
          <w:spacing w:val="0"/>
          <w:sz w:val="28"/>
        </w:rPr>
        <w:t>засідання виконавчого комітету Покровської міської ради</w:t>
      </w:r>
      <w:r>
        <w:rPr>
          <w:rFonts w:eastAsia="Times New Roman" w:cs="Times New Roman" w:ascii="Times New Roman" w:hAnsi="Times New Roman"/>
          <w:b/>
          <w:bCs/>
          <w:i w:val="false"/>
          <w:caps w:val="false"/>
          <w:smallCaps w:val="false"/>
          <w:strike w:val="false"/>
          <w:dstrike w:val="false"/>
          <w:color w:val="000000"/>
          <w:spacing w:val="1"/>
          <w:kern w:val="2"/>
          <w:sz w:val="28"/>
          <w:szCs w:val="28"/>
          <w:shd w:fill="auto" w:val="clear"/>
          <w:lang w:val="uk-UA" w:eastAsia="ru-RU" w:bidi="ar-SA"/>
        </w:rPr>
        <w:t xml:space="preserve"> </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02.</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08.</w:t>
      </w:r>
      <w:r>
        <w:rPr>
          <w:rFonts w:cs="Times New Roman" w:ascii="Times New Roman" w:hAnsi="Times New Roman"/>
          <w:b/>
          <w:bCs/>
          <w:i w:val="false"/>
          <w:caps w:val="false"/>
          <w:smallCaps w:val="false"/>
          <w:strike w:val="false"/>
          <w:dstrike w:val="false"/>
          <w:color w:val="000000"/>
          <w:spacing w:val="1"/>
          <w:sz w:val="28"/>
          <w:szCs w:val="28"/>
          <w:lang w:val="uk-UA"/>
        </w:rPr>
        <w:t xml:space="preserve">2022 року </w:t>
      </w:r>
    </w:p>
    <w:tbl>
      <w:tblPr>
        <w:tblW w:w="10038" w:type="dxa"/>
        <w:jc w:val="left"/>
        <w:tblInd w:w="77" w:type="dxa"/>
        <w:tblLayout w:type="fixed"/>
        <w:tblCellMar>
          <w:top w:w="55" w:type="dxa"/>
          <w:left w:w="55" w:type="dxa"/>
          <w:bottom w:w="55" w:type="dxa"/>
          <w:right w:w="55" w:type="dxa"/>
        </w:tblCellMar>
      </w:tblPr>
      <w:tblGrid>
        <w:gridCol w:w="625"/>
        <w:gridCol w:w="1749"/>
        <w:gridCol w:w="6087"/>
        <w:gridCol w:w="1576"/>
      </w:tblGrid>
      <w:tr>
        <w:trPr>
          <w:trHeight w:val="390" w:hRule="atLeast"/>
        </w:trPr>
        <w:tc>
          <w:tcPr>
            <w:tcW w:w="625" w:type="dxa"/>
            <w:tcBorders>
              <w:top w:val="single" w:sz="6" w:space="0" w:color="000000"/>
              <w:left w:val="single" w:sz="6" w:space="0" w:color="000000"/>
              <w:bottom w:val="single" w:sz="6" w:space="0" w:color="000000"/>
            </w:tcBorders>
            <w:vAlign w:val="center"/>
          </w:tcPr>
          <w:p>
            <w:pPr>
              <w:pStyle w:val="Standard"/>
              <w:widowControl w:val="false"/>
              <w:tabs>
                <w:tab w:val="clear" w:pos="709"/>
                <w:tab w:val="center" w:pos="4677" w:leader="none"/>
                <w:tab w:val="right" w:pos="9355" w:leader="none"/>
              </w:tabs>
              <w:snapToGrid w:val="false"/>
              <w:spacing w:lineRule="auto" w:line="240" w:before="0" w:after="0"/>
              <w:contextualSpacing/>
              <w:jc w:val="center"/>
              <w:rPr>
                <w:rFonts w:ascii="Times New Roman" w:hAnsi="Times New Roman"/>
                <w:b/>
                <w:b/>
                <w:bCs/>
              </w:rPr>
            </w:pPr>
            <w:r>
              <w:rPr>
                <w:rFonts w:cs="Times New Roman"/>
                <w:b/>
                <w:bCs/>
                <w:iCs/>
                <w:color w:val="111111"/>
                <w:sz w:val="24"/>
                <w:szCs w:val="24"/>
                <w:lang w:val="uk-UA"/>
              </w:rPr>
              <w:t>№</w:t>
            </w:r>
            <w:r>
              <w:rPr>
                <w:rFonts w:eastAsia="Times New Roman" w:cs="Times New Roman"/>
                <w:b/>
                <w:bCs/>
                <w:iCs/>
                <w:color w:val="111111"/>
                <w:sz w:val="24"/>
                <w:szCs w:val="24"/>
                <w:lang w:val="uk-UA"/>
              </w:rPr>
              <w:t xml:space="preserve"> </w:t>
            </w:r>
            <w:r>
              <w:rPr>
                <w:rFonts w:cs="Times New Roman"/>
                <w:b/>
                <w:bCs/>
                <w:iCs/>
                <w:color w:val="111111"/>
                <w:sz w:val="24"/>
                <w:szCs w:val="24"/>
                <w:lang w:val="uk-UA"/>
              </w:rPr>
              <w:t>п/п</w:t>
            </w:r>
          </w:p>
        </w:tc>
        <w:tc>
          <w:tcPr>
            <w:tcW w:w="1749" w:type="dxa"/>
            <w:tcBorders>
              <w:top w:val="single" w:sz="6" w:space="0" w:color="000000"/>
              <w:left w:val="single" w:sz="6" w:space="0" w:color="000000"/>
              <w:bottom w:val="single" w:sz="6" w:space="0" w:color="000000"/>
            </w:tcBorders>
            <w:vAlign w:val="center"/>
          </w:tcPr>
          <w:p>
            <w:pPr>
              <w:pStyle w:val="Style20"/>
              <w:widowControl w:val="false"/>
              <w:snapToGrid w:val="false"/>
              <w:spacing w:lineRule="auto" w:line="240" w:before="0" w:after="140"/>
              <w:jc w:val="center"/>
              <w:rPr>
                <w:rFonts w:ascii="Times New Roman" w:hAnsi="Times New Roman"/>
                <w:b/>
                <w:b/>
                <w:bCs/>
                <w:sz w:val="24"/>
                <w:szCs w:val="24"/>
              </w:rPr>
            </w:pPr>
            <w:r>
              <w:rPr>
                <w:rFonts w:cs="Times New Roman" w:ascii="Times New Roman" w:hAnsi="Times New Roman"/>
                <w:b/>
                <w:bCs/>
                <w:sz w:val="24"/>
                <w:szCs w:val="24"/>
              </w:rPr>
              <w:t>№</w:t>
            </w:r>
            <w:r>
              <w:rPr>
                <w:rFonts w:eastAsia="Times New Roman" w:cs="Times New Roman" w:ascii="Times New Roman" w:hAnsi="Times New Roman"/>
                <w:b/>
                <w:bCs/>
                <w:sz w:val="24"/>
                <w:szCs w:val="24"/>
              </w:rPr>
              <w:t xml:space="preserve"> </w:t>
            </w:r>
            <w:r>
              <w:rPr>
                <w:rFonts w:cs="Times New Roman" w:ascii="Times New Roman" w:hAnsi="Times New Roman"/>
                <w:b/>
                <w:bCs/>
                <w:sz w:val="24"/>
                <w:szCs w:val="24"/>
              </w:rPr>
              <w:t>рішення</w:t>
            </w:r>
          </w:p>
        </w:tc>
        <w:tc>
          <w:tcPr>
            <w:tcW w:w="6087" w:type="dxa"/>
            <w:tcBorders>
              <w:top w:val="single" w:sz="6" w:space="0" w:color="000000"/>
              <w:left w:val="single" w:sz="6" w:space="0" w:color="000000"/>
              <w:bottom w:val="single" w:sz="6" w:space="0" w:color="000000"/>
            </w:tcBorders>
          </w:tcPr>
          <w:p>
            <w:pPr>
              <w:pStyle w:val="Style20"/>
              <w:widowControl w:val="false"/>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r>
          </w:p>
          <w:p>
            <w:pPr>
              <w:pStyle w:val="Style20"/>
              <w:widowControl w:val="false"/>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Назва рішення</w:t>
            </w:r>
          </w:p>
        </w:tc>
        <w:tc>
          <w:tcPr>
            <w:tcW w:w="1576" w:type="dxa"/>
            <w:tcBorders>
              <w:top w:val="single" w:sz="6" w:space="0" w:color="000000"/>
              <w:left w:val="single" w:sz="6" w:space="0" w:color="000000"/>
              <w:bottom w:val="single" w:sz="6" w:space="0" w:color="000000"/>
              <w:right w:val="single" w:sz="6" w:space="0" w:color="000000"/>
            </w:tcBorders>
            <w:vAlign w:val="center"/>
          </w:tcPr>
          <w:p>
            <w:pPr>
              <w:pStyle w:val="Style20"/>
              <w:widowControl w:val="false"/>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Доповідач</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true"/>
              <w:bidi w:val="0"/>
              <w:snapToGrid w:val="false"/>
              <w:spacing w:lineRule="auto" w:line="240" w:before="0" w:after="0"/>
              <w:ind w:left="283" w:right="283" w:hanging="0"/>
              <w:contextualSpacing/>
              <w:jc w:val="left"/>
              <w:textAlignment w:val="baseline"/>
              <w:rPr>
                <w:rFonts w:ascii="Times New Roman" w:hAnsi="Times New Roman" w:cs="Times New Roman"/>
                <w:sz w:val="24"/>
                <w:szCs w:val="24"/>
              </w:rPr>
            </w:pPr>
            <w:r>
              <w:rPr>
                <w:rFonts w:cs="Times New Roman"/>
                <w:sz w:val="24"/>
                <w:szCs w:val="24"/>
              </w:rPr>
            </w:r>
          </w:p>
        </w:tc>
        <w:tc>
          <w:tcPr>
            <w:tcW w:w="1749"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195</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/06-53-22</w:t>
            </w:r>
          </w:p>
        </w:tc>
        <w:tc>
          <w:tcPr>
            <w:tcW w:w="6087"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8"/>
                <w:szCs w:val="28"/>
                <w:lang w:val="uk-UA" w:eastAsia="ru-RU" w:bidi="ar-SA"/>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ru-RU" w:eastAsia="ru-RU" w:bidi="ar-SA"/>
              </w:rPr>
              <w:t xml:space="preserve">виведення вихованця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p>
        </w:tc>
        <w:tc>
          <w:tcPr>
            <w:tcW w:w="1576" w:type="dxa"/>
            <w:tcBorders>
              <w:left w:val="single" w:sz="6" w:space="0" w:color="000000"/>
              <w:bottom w:val="single" w:sz="6" w:space="0" w:color="000000"/>
              <w:right w:val="single" w:sz="6"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 xml:space="preserve">Відяєва Г. </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true"/>
              <w:bidi w:val="0"/>
              <w:snapToGrid w:val="false"/>
              <w:spacing w:lineRule="auto" w:line="240" w:before="0" w:after="0"/>
              <w:ind w:left="283" w:right="283" w:hanging="0"/>
              <w:contextualSpacing/>
              <w:jc w:val="left"/>
              <w:textAlignment w:val="baseline"/>
              <w:rPr>
                <w:rFonts w:ascii="Times New Roman" w:hAnsi="Times New Roman" w:cs="Times New Roman"/>
                <w:sz w:val="24"/>
                <w:szCs w:val="24"/>
              </w:rPr>
            </w:pPr>
            <w:r>
              <w:rPr>
                <w:rFonts w:cs="Times New Roman"/>
                <w:sz w:val="24"/>
                <w:szCs w:val="24"/>
              </w:rPr>
            </w:r>
          </w:p>
        </w:tc>
        <w:tc>
          <w:tcPr>
            <w:tcW w:w="1749"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196</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/06-53-22</w:t>
            </w:r>
          </w:p>
        </w:tc>
        <w:tc>
          <w:tcPr>
            <w:tcW w:w="6087" w:type="dxa"/>
            <w:tcBorders>
              <w:left w:val="single" w:sz="6" w:space="0" w:color="000000"/>
              <w:bottom w:val="single" w:sz="6" w:space="0" w:color="000000"/>
            </w:tcBorders>
          </w:tcPr>
          <w:p>
            <w:pPr>
              <w:pStyle w:val="NormalWeb"/>
              <w:widowControl w:val="false"/>
              <w:spacing w:lineRule="auto" w:line="240" w:before="0" w:after="0"/>
              <w:ind w:left="0" w:right="0" w:hanging="0"/>
              <w:jc w:val="both"/>
              <w:textAlignment w:val="auto"/>
              <w:rPr>
                <w:rFonts w:ascii="Times New Roman" w:hAnsi="Times New Roman" w:eastAsia="Times New Roman" w:cs="Times New Roman"/>
                <w:kern w:val="0"/>
                <w:sz w:val="28"/>
                <w:szCs w:val="28"/>
                <w:lang w:val="uk-UA" w:eastAsia="ru-RU" w:bidi="ar-SA"/>
              </w:rPr>
            </w:pPr>
            <w:r>
              <w:rPr>
                <w:rStyle w:val="Rvts9"/>
                <w:rFonts w:eastAsia="Times New Roman" w:cs="Times New Roman"/>
                <w:b w:val="false"/>
                <w:bCs w:val="false"/>
                <w:i w:val="false"/>
                <w:iCs w:val="false"/>
                <w:caps w:val="false"/>
                <w:smallCaps w:val="false"/>
                <w:color w:val="000000"/>
                <w:spacing w:val="0"/>
                <w:kern w:val="0"/>
                <w:sz w:val="28"/>
                <w:szCs w:val="28"/>
                <w:u w:val="none"/>
                <w:shd w:fill="FFFFFF" w:val="clear"/>
                <w:lang w:val="uk-UA" w:eastAsia="ru-RU" w:bidi="ar-SA"/>
              </w:rPr>
              <w:t>Про продовження строку перебування дітей у сім'ї патронатного вихователя (ХХХХ, ХХХХ, ХХХХ).</w:t>
            </w:r>
          </w:p>
        </w:tc>
        <w:tc>
          <w:tcPr>
            <w:tcW w:w="1576" w:type="dxa"/>
            <w:tcBorders>
              <w:left w:val="single" w:sz="6" w:space="0" w:color="000000"/>
              <w:bottom w:val="single" w:sz="6" w:space="0" w:color="000000"/>
              <w:right w:val="single" w:sz="6"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 xml:space="preserve">Відяєва Г. </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left" w:pos="673" w:leader="none"/>
                <w:tab w:val="center" w:pos="4960" w:leader="none"/>
                <w:tab w:val="right" w:pos="9638" w:leader="none"/>
              </w:tabs>
              <w:suppressAutoHyphens w:val="true"/>
              <w:overflowPunct w:val="true"/>
              <w:bidi w:val="0"/>
              <w:snapToGrid w:val="false"/>
              <w:spacing w:lineRule="auto" w:line="240" w:before="0" w:after="0"/>
              <w:ind w:left="283" w:right="283"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749"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197</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/06-53-22</w:t>
            </w:r>
          </w:p>
        </w:tc>
        <w:tc>
          <w:tcPr>
            <w:tcW w:w="6087"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8"/>
                <w:szCs w:val="28"/>
                <w:lang w:val="uk-UA" w:eastAsia="ru-RU" w:bidi="ar-SA"/>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затвердження висновку о</w:t>
            </w:r>
            <w:r>
              <w:rPr>
                <w:rFonts w:eastAsia="Times New Roman" w:cs="Times New Roman" w:ascii="Times New Roman" w:hAnsi="Times New Roman"/>
                <w:kern w:val="0"/>
                <w:sz w:val="28"/>
                <w:szCs w:val="28"/>
                <w:lang w:val="uk-UA" w:eastAsia="ru-RU" w:bidi="ar-SA"/>
              </w:rPr>
              <w:t>ргану опіки та піклування Покровської міської ради Дніпропетровської області щодо</w:t>
            </w:r>
            <w:r>
              <w:rPr>
                <w:rStyle w:val="Rvts9"/>
                <w:rFonts w:eastAsia="Times New Roman" w:cs="Times New Roman" w:ascii="Times New Roman" w:hAnsi="Times New Roman"/>
                <w:color w:val="000000"/>
                <w:kern w:val="0"/>
                <w:sz w:val="28"/>
                <w:szCs w:val="28"/>
                <w:shd w:fill="FFFFFF" w:val="clear"/>
                <w:lang w:val="uk-UA" w:eastAsia="ru-RU" w:bidi="ar-SA"/>
              </w:rPr>
              <w:t xml:space="preserve"> </w:t>
            </w:r>
            <w:r>
              <w:rPr>
                <w:rStyle w:val="Rvts9"/>
                <w:rFonts w:eastAsia="Times New Roman" w:cs="Times New Roman" w:ascii="Times New Roman" w:hAnsi="Times New Roman"/>
                <w:b w:val="false"/>
                <w:bCs w:val="false"/>
                <w:color w:val="000000"/>
                <w:kern w:val="0"/>
                <w:sz w:val="28"/>
                <w:szCs w:val="28"/>
                <w:shd w:fill="FFFFFF" w:val="clear"/>
                <w:lang w:val="uk-UA" w:eastAsia="ru-RU" w:bidi="ar-SA"/>
              </w:rPr>
              <w:t>визначення місця проживання малолітнього ХХХХ ХХХХ ХХХХ, ХХ.ХХ.ХХХХ року народження з батьком, гр.ХХХХ ХХХХ ХХХХ, ХХ.ХХ.ХХХХ року народження.</w:t>
            </w:r>
          </w:p>
        </w:tc>
        <w:tc>
          <w:tcPr>
            <w:tcW w:w="1576" w:type="dxa"/>
            <w:tcBorders>
              <w:left w:val="single" w:sz="6" w:space="0" w:color="000000"/>
              <w:bottom w:val="single" w:sz="6" w:space="0" w:color="000000"/>
              <w:right w:val="single" w:sz="6"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 xml:space="preserve">Відяєва Г. </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tru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749"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198</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/06-53-22</w:t>
            </w:r>
          </w:p>
        </w:tc>
        <w:tc>
          <w:tcPr>
            <w:tcW w:w="6087"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eastAsia="Times New Roman"/>
                <w:kern w:val="0"/>
                <w:sz w:val="26"/>
                <w:szCs w:val="26"/>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гр.ХХХХ ХХХХ ХХХХ, ХХ.ХХ.ХХХХ року народження відносно малолітнього ХХХХ ХХХХ ХХХХ, ХХ.ХХ.ХХХХ року народження.</w:t>
            </w:r>
          </w:p>
        </w:tc>
        <w:tc>
          <w:tcPr>
            <w:tcW w:w="1576" w:type="dxa"/>
            <w:tcBorders>
              <w:left w:val="single" w:sz="6" w:space="0" w:color="000000"/>
              <w:bottom w:val="single" w:sz="6" w:space="0" w:color="000000"/>
              <w:right w:val="single" w:sz="6"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Відяєва Г.</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tru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749"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shd w:fill="auto" w:val="clear"/>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199</w:t>
            </w:r>
            <w:r>
              <w:rPr>
                <w:rFonts w:eastAsia="Times New Roman" w:cs="Times New Roman" w:ascii="Times New Roman" w:hAnsi="Times New Roman"/>
                <w:b w:val="false"/>
                <w:bCs w:val="false"/>
                <w:i w:val="false"/>
                <w:iCs w:val="false"/>
                <w:color w:val="111111"/>
                <w:spacing w:val="1"/>
                <w:kern w:val="2"/>
                <w:sz w:val="28"/>
                <w:szCs w:val="28"/>
                <w:shd w:fill="auto" w:val="clear"/>
                <w:lang w:val="uk-UA" w:eastAsia="ru-RU" w:bidi="ar-SA"/>
              </w:rPr>
              <w:t>/06-53-22</w:t>
            </w:r>
          </w:p>
        </w:tc>
        <w:tc>
          <w:tcPr>
            <w:tcW w:w="6087"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eastAsia="Times New Roman"/>
                <w:kern w:val="0"/>
                <w:sz w:val="26"/>
                <w:szCs w:val="26"/>
                <w:lang w:eastAsia="ru-RU" w:bidi="ar-SA"/>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ru-RU" w:eastAsia="ru-RU" w:bidi="ar-SA"/>
              </w:rPr>
              <w:t xml:space="preserve">надання дозволу на укладання договору купівлі-продажу квартири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p>
        </w:tc>
        <w:tc>
          <w:tcPr>
            <w:tcW w:w="1576" w:type="dxa"/>
            <w:tcBorders>
              <w:left w:val="single" w:sz="6" w:space="0" w:color="000000"/>
              <w:bottom w:val="single" w:sz="6" w:space="0" w:color="000000"/>
              <w:right w:val="single" w:sz="6"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Відяєва Г.</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tru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749"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shd w:fill="auto" w:val="clear"/>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200</w:t>
            </w:r>
            <w:r>
              <w:rPr>
                <w:rFonts w:eastAsia="Times New Roman" w:cs="Times New Roman" w:ascii="Times New Roman" w:hAnsi="Times New Roman"/>
                <w:b w:val="false"/>
                <w:bCs w:val="false"/>
                <w:i w:val="false"/>
                <w:iCs w:val="false"/>
                <w:color w:val="111111"/>
                <w:spacing w:val="1"/>
                <w:kern w:val="2"/>
                <w:sz w:val="28"/>
                <w:szCs w:val="28"/>
                <w:shd w:fill="auto" w:val="clear"/>
                <w:lang w:val="uk-UA" w:eastAsia="ru-RU" w:bidi="ar-SA"/>
              </w:rPr>
              <w:t>/06-53-22</w:t>
            </w:r>
          </w:p>
        </w:tc>
        <w:tc>
          <w:tcPr>
            <w:tcW w:w="6087" w:type="dxa"/>
            <w:tcBorders>
              <w:left w:val="single" w:sz="6" w:space="0" w:color="000000"/>
              <w:bottom w:val="single" w:sz="6" w:space="0" w:color="000000"/>
            </w:tcBorders>
          </w:tcPr>
          <w:p>
            <w:pPr>
              <w:pStyle w:val="Style29"/>
              <w:widowControl w:val="false"/>
              <w:rPr>
                <w:rFonts w:ascii="Times New Roman" w:hAnsi="Times New Roman" w:cs="Times New Roman"/>
                <w:sz w:val="28"/>
                <w:szCs w:val="28"/>
                <w:lang w:val="uk-UA"/>
              </w:rPr>
            </w:pPr>
            <w:r>
              <w:rPr>
                <w:rFonts w:cs="Times New Roman"/>
                <w:sz w:val="28"/>
                <w:szCs w:val="28"/>
                <w:lang w:val="uk-UA"/>
              </w:rPr>
              <w:t xml:space="preserve">Про затвердження умов оренди частини нежитлової будівлі загальною площею 45,0 кв.м., розташованої по вул.Партизанська,71в м.Покров, включеної до Переліку першого типу </w:t>
            </w:r>
          </w:p>
        </w:tc>
        <w:tc>
          <w:tcPr>
            <w:tcW w:w="1576" w:type="dxa"/>
            <w:tcBorders>
              <w:left w:val="single" w:sz="6" w:space="0" w:color="000000"/>
              <w:bottom w:val="single" w:sz="6" w:space="0" w:color="000000"/>
              <w:right w:val="single" w:sz="6" w:space="0" w:color="000000"/>
            </w:tcBorders>
            <w:vAlign w:val="center"/>
          </w:tcPr>
          <w:p>
            <w:pPr>
              <w:pStyle w:val="Style20"/>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Відяєва Г.</w:t>
            </w:r>
          </w:p>
        </w:tc>
      </w:tr>
    </w:tbl>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rPr/>
    </w:lvl>
    <w:lvl w:ilvl="1">
      <w:start w:val="1"/>
      <w:numFmt w:val="decimal"/>
      <w:lvlText w:val="%1.%2."/>
      <w:lvlJc w:val="left"/>
      <w:pPr>
        <w:tabs>
          <w:tab w:val="num" w:pos="1250"/>
        </w:tabs>
        <w:ind w:left="1250" w:hanging="360"/>
      </w:pPr>
      <w:rPr/>
    </w:lvl>
    <w:lvl w:ilvl="2">
      <w:start w:val="1"/>
      <w:numFmt w:val="decimal"/>
      <w:lvlText w:val="%2.%3."/>
      <w:lvlJc w:val="left"/>
      <w:pPr>
        <w:tabs>
          <w:tab w:val="num" w:pos="1610"/>
        </w:tabs>
        <w:ind w:left="1610" w:hanging="360"/>
      </w:pPr>
      <w:rPr/>
    </w:lvl>
    <w:lvl w:ilvl="3">
      <w:start w:val="1"/>
      <w:numFmt w:val="decimal"/>
      <w:lvlText w:val="%3.%4."/>
      <w:lvlJc w:val="left"/>
      <w:pPr>
        <w:tabs>
          <w:tab w:val="num" w:pos="1970"/>
        </w:tabs>
        <w:ind w:left="1970" w:hanging="360"/>
      </w:pPr>
      <w:rPr/>
    </w:lvl>
    <w:lvl w:ilvl="4">
      <w:start w:val="1"/>
      <w:numFmt w:val="decimal"/>
      <w:lvlText w:val="%4.%5."/>
      <w:lvlJc w:val="left"/>
      <w:pPr>
        <w:tabs>
          <w:tab w:val="num" w:pos="2330"/>
        </w:tabs>
        <w:ind w:left="2330" w:hanging="360"/>
      </w:pPr>
      <w:rPr/>
    </w:lvl>
    <w:lvl w:ilvl="5">
      <w:start w:val="1"/>
      <w:numFmt w:val="decimal"/>
      <w:lvlText w:val="%5.%6."/>
      <w:lvlJc w:val="left"/>
      <w:pPr>
        <w:tabs>
          <w:tab w:val="num" w:pos="2690"/>
        </w:tabs>
        <w:ind w:left="2690" w:hanging="360"/>
      </w:pPr>
      <w:rPr/>
    </w:lvl>
    <w:lvl w:ilvl="6">
      <w:start w:val="1"/>
      <w:numFmt w:val="decimal"/>
      <w:lvlText w:val="%6.%7."/>
      <w:lvlJc w:val="left"/>
      <w:pPr>
        <w:tabs>
          <w:tab w:val="num" w:pos="3050"/>
        </w:tabs>
        <w:ind w:left="3050" w:hanging="360"/>
      </w:pPr>
      <w:rPr/>
    </w:lvl>
    <w:lvl w:ilvl="7">
      <w:start w:val="1"/>
      <w:numFmt w:val="decimal"/>
      <w:lvlText w:val="%7.%8."/>
      <w:lvlJc w:val="left"/>
      <w:pPr>
        <w:tabs>
          <w:tab w:val="num" w:pos="3410"/>
        </w:tabs>
        <w:ind w:left="3410" w:hanging="360"/>
      </w:pPr>
      <w:rPr/>
    </w:lvl>
    <w:lvl w:ilvl="8">
      <w:start w:val="1"/>
      <w:numFmt w:val="decimal"/>
      <w:lvlText w:val="%8.%9."/>
      <w:lvlJc w:val="left"/>
      <w:pPr>
        <w:tabs>
          <w:tab w:val="num" w:pos="3770"/>
        </w:tabs>
        <w:ind w:left="377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yle16">
    <w:name w:val="Strong"/>
    <w:qFormat/>
    <w:rPr>
      <w:b/>
      <w:bCs/>
    </w:rPr>
  </w:style>
  <w:style w:type="character" w:styleId="1">
    <w:name w:val="Строгий1"/>
    <w:qFormat/>
    <w:rPr>
      <w:b/>
      <w:bCs/>
    </w:rPr>
  </w:style>
  <w:style w:type="character" w:styleId="Style17">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DefaultParagraphFont">
    <w:name w:val="Default Paragraph Font"/>
    <w:qFormat/>
    <w:rPr/>
  </w:style>
  <w:style w:type="character" w:styleId="Style18">
    <w:name w:val="Основной шрифт абзаца"/>
    <w:qFormat/>
    <w:rPr/>
  </w:style>
  <w:style w:type="character" w:styleId="Strong">
    <w:name w:val="Strong"/>
    <w:qFormat/>
    <w:rPr>
      <w:b/>
      <w:bCs/>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Покажчик"/>
    <w:basedOn w:val="Normal"/>
    <w:qFormat/>
    <w:pPr>
      <w:suppressLineNumbers/>
    </w:pPr>
    <w:rPr>
      <w:rFonts w:cs="Arial"/>
    </w:rPr>
  </w:style>
  <w:style w:type="paragraph" w:styleId="Style24">
    <w:name w:val="Указатель"/>
    <w:basedOn w:val="Normal"/>
    <w:qFormat/>
    <w:pPr>
      <w:suppressLineNumbers/>
    </w:pPr>
    <w:rPr>
      <w:rFonts w:cs="Lohit Devanagari"/>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5">
    <w:name w:val="Body Text Indent"/>
    <w:basedOn w:val="Normal"/>
    <w:pPr>
      <w:suppressAutoHyphens w:val="false"/>
      <w:spacing w:before="0" w:after="120"/>
      <w:ind w:left="283" w:right="0" w:hanging="0"/>
    </w:pPr>
    <w:rPr/>
  </w:style>
  <w:style w:type="paragraph" w:styleId="Style26">
    <w:name w:val="Обычный (веб)"/>
    <w:basedOn w:val="Normal"/>
    <w:qFormat/>
    <w:pPr>
      <w:spacing w:before="280" w:after="280"/>
    </w:pPr>
    <w:rPr/>
  </w:style>
  <w:style w:type="paragraph" w:styleId="Style27">
    <w:name w:val="Содержимое таблицы"/>
    <w:basedOn w:val="Normal"/>
    <w:qFormat/>
    <w:pPr>
      <w:widowControl w:val="false"/>
      <w:suppressLineNumbers/>
    </w:pPr>
    <w:rPr/>
  </w:style>
  <w:style w:type="paragraph" w:styleId="Style28">
    <w:name w:val="Заголовок таблицы"/>
    <w:basedOn w:val="Style27"/>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29">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BodyText2">
    <w:name w:val="Body Text 2"/>
    <w:basedOn w:val="Normal"/>
    <w:qFormat/>
    <w:pPr>
      <w:spacing w:lineRule="auto" w:line="240"/>
      <w:ind w:firstLine="720"/>
      <w:jc w:val="center"/>
    </w:pPr>
    <w:rPr>
      <w:rFonts w:ascii="Times New Roman" w:hAnsi="Times New Roman" w:eastAsia="Times New Roman" w:cs="Times New Roman"/>
      <w:szCs w:val="20"/>
    </w:rPr>
  </w:style>
  <w:style w:type="paragraph" w:styleId="Style30">
    <w:name w:val="Обычный"/>
    <w:qFormat/>
    <w:pPr>
      <w:widowControl w:val="false"/>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168</TotalTime>
  <Application>LibreOffice/7.4.3.2$Windows_X86_64 LibreOffice_project/1048a8393ae2eeec98dff31b5c133c5f1d08b890</Application>
  <AppVersion>15.0000</AppVersion>
  <Pages>1</Pages>
  <Words>153</Words>
  <Characters>1051</Characters>
  <CharactersWithSpaces>1179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2023-04-25T09:50:20Z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