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-623570</wp:posOffset>
            </wp:positionV>
            <wp:extent cx="426720" cy="60706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23" r="-3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bidi w:val="0"/>
        <w:spacing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/>
      </w:pPr>
      <w:r>
        <w:rPr/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93345</wp:posOffset>
                </wp:positionV>
                <wp:extent cx="6124575" cy="15240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35pt" to="483.45pt,8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spacing w:lineRule="auto" w:line="240" w:before="0" w:after="0"/>
        <w:ind w:left="0" w:right="0" w:hanging="0"/>
        <w:jc w:val="both"/>
        <w:rPr/>
      </w:pPr>
      <w:r>
        <w:rPr>
          <w:rFonts w:eastAsia="Andale Sans UI;Arial Unicode MS" w:cs="Tahoma"/>
          <w:bCs/>
          <w:color w:val="auto"/>
          <w:kern w:val="2"/>
          <w:sz w:val="28"/>
          <w:szCs w:val="28"/>
          <w:u w:val="single"/>
          <w:lang w:val="uk-UA" w:eastAsia="zxx" w:bidi="zxx"/>
        </w:rPr>
        <w:t>14.07.2021</w:t>
      </w:r>
      <w:r>
        <w:rPr>
          <w:bCs/>
          <w:sz w:val="28"/>
          <w:szCs w:val="28"/>
          <w:lang w:val="uk-UA"/>
        </w:rPr>
        <w:t xml:space="preserve">                                        м.Покров                                              </w:t>
      </w:r>
      <w:r>
        <w:rPr>
          <w:bCs/>
          <w:sz w:val="28"/>
          <w:szCs w:val="28"/>
          <w:u w:val="single"/>
          <w:lang w:val="uk-UA"/>
        </w:rPr>
        <w:t xml:space="preserve">№ </w:t>
      </w:r>
      <w:r>
        <w:rPr>
          <w:rFonts w:eastAsia="Andale Sans UI;Arial Unicode MS" w:cs="Tahoma"/>
          <w:bCs/>
          <w:color w:val="auto"/>
          <w:kern w:val="2"/>
          <w:sz w:val="28"/>
          <w:szCs w:val="28"/>
          <w:u w:val="single"/>
          <w:lang w:val="uk-UA" w:eastAsia="zxx" w:bidi="zxx"/>
        </w:rPr>
        <w:t>166-р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lang w:val="uk-UA"/>
        </w:rPr>
      </w:pPr>
      <w:r>
        <w:rPr>
          <w:bCs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Переліку наборів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даних, що підлягають оприлюдненню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формі відкритих даних Покровської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</w:pPr>
      <w:bookmarkStart w:id="0" w:name="_GoBack"/>
      <w:bookmarkEnd w:id="0"/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  <w:t>міської ради та її виконавчого комітету,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  <w:t>у новій редакції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  <w:lang w:val="uk-UA"/>
        </w:rPr>
        <w:tab/>
      </w:r>
      <w:r>
        <w:rPr>
          <w:rFonts w:eastAsia="Andale Sans UI;Arial Unicode MS" w:cs="Tahoma"/>
          <w:bCs/>
          <w:color w:val="auto"/>
          <w:kern w:val="2"/>
          <w:sz w:val="28"/>
          <w:szCs w:val="28"/>
          <w:lang w:val="uk-UA" w:eastAsia="zxx" w:bidi="zxx"/>
        </w:rPr>
        <w:t>На підставі</w:t>
      </w:r>
      <w:r>
        <w:rPr>
          <w:bCs/>
          <w:sz w:val="28"/>
          <w:szCs w:val="28"/>
          <w:lang w:val="uk-UA"/>
        </w:rPr>
        <w:t xml:space="preserve"> внесених змін постановою Кабінету Міністрів України від 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 xml:space="preserve">12.05.2021року №462 до постанови Кабінету Міністрів України від </w:t>
      </w:r>
      <w:r>
        <w:rPr>
          <w:bCs/>
          <w:sz w:val="28"/>
          <w:szCs w:val="28"/>
          <w:lang w:val="uk-UA"/>
        </w:rPr>
        <w:t>21.10.2015року №835 «Про затвер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дження Положення про набори даних, які підлягають оприлюдненню у формі відкритих даних», керуючись ст.10¹ Закону України «Про доступ до публічної інформації», ст.42 Закону України «Про місцеве самоврядування в Україні», з метою більш прозорого та якісного забезпечення доступу до публічної інформації розпорядника інформації: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1. Затвердити Перелік </w:t>
      </w:r>
      <w:bookmarkStart w:id="1" w:name="__DdeLink__1815_1470262116"/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наборів даних, що підлягають оприлюдненню у формі відкритих даних Покровської міської ради та її виконавчого комітету</w:t>
      </w:r>
      <w:bookmarkEnd w:id="1"/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 xml:space="preserve"> у новій редакції, що додається.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 xml:space="preserve">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 xml:space="preserve">2.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hi-IN"/>
        </w:rPr>
        <w:t>Розпорядникам інформації, під особисту відповідальність: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hi-IN"/>
        </w:rPr>
        <w:t xml:space="preserve">   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hi-IN"/>
        </w:rPr>
        <w:tab/>
        <w:t>2.1. Призначити/оновити в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>ідповідальних осіб за забезпечення своєчасності підготовки, передачі, достовірності та актуальності, наборів даних, що підлягають оприлюдненню у формі відкритих даних.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 xml:space="preserve">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2.2. Відповідальним особам в подальшій роботі керуватися: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- Положенням про набори даних, які підлягають оприлюдненню у формі відкритих даних, затвердженим постановою КМУ від 21.10.2015 №835;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- Переліком наборів даних, що підлягають оприлюдненню у формі відкритих даних Покровської міської ради та її виконавчого комітету затвердженого цим розпорядженням міського голови;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-  суворо дотримуватися строків розміщення  інформації та її формату;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- обов'язково перетворювати (зокрема, вивантажені з баз даних та в разі потреби знеособлення) публічну інформацію у публічну інформацію у формі відкритих даних.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 xml:space="preserve">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</w:r>
      <w:r>
        <w:rPr>
          <w:bCs/>
          <w:sz w:val="28"/>
          <w:szCs w:val="28"/>
          <w:lang w:val="uk-UA"/>
        </w:rPr>
        <w:t xml:space="preserve">3. Начальнику відділу інформаційно — технічного забезпечення                 Легезі О.О. забезпечувати технічне оновлення інформації </w:t>
      </w:r>
      <w:bookmarkStart w:id="2" w:name="__DdeLink__1630_1231257040"/>
      <w:r>
        <w:rPr>
          <w:bCs/>
          <w:sz w:val="28"/>
          <w:szCs w:val="28"/>
          <w:lang w:val="uk-UA"/>
        </w:rPr>
        <w:t>на офіційному веб-сайті Покровської  міської  ради</w:t>
      </w:r>
      <w:bookmarkEnd w:id="2"/>
      <w:r>
        <w:rPr>
          <w:bCs/>
          <w:sz w:val="28"/>
          <w:szCs w:val="28"/>
          <w:lang w:val="uk-UA"/>
        </w:rPr>
        <w:t xml:space="preserve">  згідно  з   вимогами  постанови  Кабінету  Міністрів України від 21.10.2015 року № 835 «Про затвердження Положення про набори даних, які підлягають оприлюдненню у формі відкритих даних».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4. Заступникам міського голови за напрямами роботи, здійснювати особистий контроль за актуальністю та достовірністю інформації, що розміщена </w:t>
      </w:r>
      <w:r>
        <w:rPr>
          <w:bCs/>
          <w:sz w:val="28"/>
          <w:szCs w:val="28"/>
          <w:lang w:val="uk-UA"/>
        </w:rPr>
        <w:t>на офіційному веб-сайті Покровської міської ради.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5. Визнати  такими що  втратило чинність розпорядження міського голови «Про затвердження Переліку наборів даних, що підлягають оприлюдненню у формі відкритих даних Покровської міської ради та її виконавчого комітету»   від 05.04.2019р.  № 91-р. зі змінами від 26.06.2019р. №180-р.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за виконанням даного розпорядження покласти на начальника відділу з питань запобігання та протидії корупції Горчакову Т.А., контроль – на керуючого справами виконавчого комітету Відяєву Г.М.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eastAsia="Wingdings" w:cs="Liberation Serif;Times New Roman"/>
          <w:color w:val="000000"/>
          <w:kern w:val="2"/>
          <w:sz w:val="28"/>
          <w:lang w:val="uk-UA" w:bidi="hi-IN"/>
        </w:rPr>
      </w:pPr>
      <w:r>
        <w:rPr>
          <w:rFonts w:eastAsia="Wingdings" w:cs="Liberation Serif;Times New Roman"/>
          <w:color w:val="000000"/>
          <w:kern w:val="2"/>
          <w:sz w:val="28"/>
          <w:lang w:val="uk-UA" w:bidi="hi-IN"/>
        </w:rPr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О.М. Шаповал                                        </w:t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/>
      </w:pPr>
      <w:bookmarkStart w:id="3" w:name="__DdeLink__1495_4094202682"/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bookmarkEnd w:id="3"/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bookmarkStart w:id="4" w:name="__DdeLink__1495_40942026821"/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</w:t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bookmarkEnd w:id="4"/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/>
          <w:bCs/>
          <w:sz w:val="28"/>
          <w:szCs w:val="28"/>
          <w:lang w:eastAsia="ru-RU"/>
        </w:rPr>
        <w:t>ЗАТВЕРДЖЕНО</w:t>
      </w:r>
    </w:p>
    <w:p>
      <w:pPr>
        <w:pStyle w:val="Normal"/>
        <w:widowControl w:val="false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2124" w:right="0" w:hanging="0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>Р</w:t>
      </w:r>
      <w:r>
        <w:rPr>
          <w:rFonts w:eastAsia="Times New Roman" w:cs="Times New Roman"/>
          <w:bCs/>
          <w:sz w:val="28"/>
          <w:szCs w:val="28"/>
          <w:lang w:eastAsia="ru-RU"/>
        </w:rPr>
        <w:t>озпорядження міського голови</w:t>
      </w:r>
    </w:p>
    <w:p>
      <w:pPr>
        <w:pStyle w:val="Normal"/>
        <w:tabs>
          <w:tab w:val="clear" w:pos="709"/>
          <w:tab w:val="left" w:pos="720" w:leader="none"/>
          <w:tab w:val="left" w:pos="1260" w:leader="none"/>
        </w:tabs>
        <w:suppressAutoHyphens w:val="true"/>
        <w:spacing w:lineRule="auto" w:line="240" w:before="0" w:after="0"/>
        <w:ind w:left="0" w:right="0" w:firstLine="709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 w:cs="Times New Roman"/>
          <w:bCs/>
          <w:color w:val="auto"/>
          <w:kern w:val="2"/>
          <w:sz w:val="28"/>
          <w:szCs w:val="28"/>
          <w:u w:val="single"/>
          <w:lang w:val="zxx" w:eastAsia="ru-RU" w:bidi="zxx"/>
        </w:rPr>
        <w:t>14.07.2021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р.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bCs/>
          <w:color w:val="auto"/>
          <w:kern w:val="2"/>
          <w:sz w:val="28"/>
          <w:szCs w:val="28"/>
          <w:u w:val="single"/>
          <w:lang w:val="zxx" w:eastAsia="ru-RU" w:bidi="zxx"/>
        </w:rPr>
        <w:t>166-р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eastAsia="Times New Roman" w:cs="Times New Roman"/>
          <w:color w:val="000000"/>
          <w:sz w:val="12"/>
          <w:szCs w:val="12"/>
          <w:lang w:eastAsia="ru-RU"/>
        </w:rPr>
      </w:pPr>
      <w:r>
        <w:rPr>
          <w:rFonts w:eastAsia="Times New Roman" w:cs="Times New Roman"/>
          <w:color w:val="000000"/>
          <w:sz w:val="12"/>
          <w:szCs w:val="12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4628515</wp:posOffset>
                </wp:positionH>
                <wp:positionV relativeFrom="paragraph">
                  <wp:posOffset>17732375</wp:posOffset>
                </wp:positionV>
                <wp:extent cx="1548130" cy="14605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64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4.45pt,1396.25pt" to="486.25pt,1396.95pt" ID="Фігура2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5">
                <wp:simplePos x="0" y="0"/>
                <wp:positionH relativeFrom="column">
                  <wp:posOffset>4638040</wp:posOffset>
                </wp:positionH>
                <wp:positionV relativeFrom="paragraph">
                  <wp:posOffset>17668240</wp:posOffset>
                </wp:positionV>
                <wp:extent cx="14605" cy="1270"/>
                <wp:effectExtent l="0" t="0" r="0" b="0"/>
                <wp:wrapNone/>
                <wp:docPr id="4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5.2pt,1391.2pt" to="366.25pt,1391.2pt" ID="Фігура3" stroked="t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Перелік наборів даних, що підлягають оприлюдненню у формі відкритих даних Покровської міської ради та її виконавчого комітету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10206" w:type="dxa"/>
        <w:jc w:val="left"/>
        <w:tblInd w:w="-475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724"/>
        <w:gridCol w:w="4805"/>
        <w:gridCol w:w="2269"/>
        <w:gridCol w:w="2407"/>
      </w:tblGrid>
      <w:tr>
        <w:trPr>
          <w:trHeight w:val="801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Перелік публічної інформації для обов’язкового оприлюднення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Відповідальний за розміщення публічної інформації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Строки розміщення  публічної інформації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(* до всіх пунтів)</w:t>
            </w:r>
          </w:p>
        </w:tc>
      </w:tr>
      <w:tr>
        <w:trPr>
          <w:trHeight w:val="691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eastAsia="ru-RU"/>
              </w:rPr>
              <w:t>Р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еєстр наборів даних, що перебувають у володінні розпорядника інформації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інформаційного забезпечення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59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eastAsia="ru-RU"/>
              </w:rPr>
              <w:t>І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нформація про організаційну структуру розпорядника інформації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Звіти про виконання фінансових планів комунальних підприємств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економіки (інформацію надають міські комунальні підприємства)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Двічі на рік: до 01 березня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(за календарний рік), до 01 вересня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(за півріччя)</w:t>
            </w:r>
          </w:p>
        </w:tc>
      </w:tr>
      <w:tr>
        <w:trPr>
          <w:trHeight w:val="82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Нормативи, що затверджуються та підлягають оприлюдненню відповідно до закону розпорядником інформації обговоренню: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міської ради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Керівники управлінь, відділів виконавчого комітету Покровської міської ради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як за 10 робочих днів до дати їх розгляду з метою прийняття.</w:t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Зміни, доповнення, додатки тощо до проектів рішень не пізніше як за 5 робочих днів до дати їх розгляду.</w:t>
            </w:r>
          </w:p>
        </w:tc>
      </w:tr>
      <w:tr>
        <w:trPr>
          <w:trHeight w:val="56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виконавчого комітету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Переліки нормативно-правових актів, актів індивідуальної дії (крім внутрішньоорганізаційних), прийнятих розпорядником інформації, проекти нормативно-правових актів: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міської ради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Організаційний відділ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прийняття рішення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tLeast" w:line="12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виконавчого комітету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Загальний відділ</w:t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8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tLeast" w:line="12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міським головою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Відділ економіки, розробник регуляторного акта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Базовий – до набрання чинності акту.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Повторний – через 1 рік.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Периодичний – кожні 3 роки.</w:t>
            </w:r>
          </w:p>
        </w:tc>
      </w:tr>
      <w:tr>
        <w:trPr>
          <w:trHeight w:val="56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Щороку до 15 грудня</w:t>
            </w:r>
          </w:p>
        </w:tc>
      </w:tr>
      <w:tr>
        <w:trPr>
          <w:trHeight w:val="364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spacing w:lineRule="auto" w:line="240" w:before="280" w:after="280"/>
              <w:ind w:left="0" w:right="0" w:hanging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Перелік об’єктів комунальної власності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економіки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98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52" w:after="52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2.Перелік об’єктів комунальної власності, які можуть бути передані в оренду (до дати, визначеної підпунктом 1 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131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Щоквартально до 15 числа місяця, наступного за звітним</w:t>
            </w:r>
          </w:p>
        </w:tc>
      </w:tr>
      <w:tr>
        <w:trPr>
          <w:trHeight w:val="98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 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проведення</w:t>
            </w:r>
          </w:p>
        </w:tc>
      </w:tr>
      <w:tr>
        <w:trPr>
          <w:trHeight w:val="98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5. 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51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6. 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7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7.Дані про об’єкти та засоби торгівлі (пересувної, сезонної тощо)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8.</w:t>
            </w:r>
            <w:r>
              <w:rPr>
                <w:rFonts w:eastAsia="Andale Sans UI;Arial Unicode MS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zxx" w:eastAsia="zxx" w:bidi="zxx"/>
              </w:rPr>
              <w:t>Результати інформаційного аудиту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8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9.Відомості щодо ярмарків (строк проведення, місце, кількість місць, вартість місць), організаторів ярмарків, договорів, укладених з організаторами таких ярмарків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разі отримання листа</w:t>
            </w:r>
          </w:p>
        </w:tc>
      </w:tr>
      <w:tr>
        <w:trPr>
          <w:trHeight w:val="98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bookmarkStart w:id="5" w:name="n13482"/>
            <w:bookmarkEnd w:id="5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10.Інформація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356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11. 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8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Щомісячно,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 не пізніше 10 робочих днів наступного за звітним місяця</w:t>
            </w:r>
          </w:p>
        </w:tc>
      </w:tr>
      <w:tr>
        <w:trPr>
          <w:trHeight w:val="98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604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Перелік розпорядників бюджетних коштів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262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Керівники управлінь, відділів виконавчого комітету Покровської міської ради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триденний строк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Річні плани закупівель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економіки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(інформацію надають головні розпорядники бюджетних коштів)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транспорту та зв’язку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30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bookmarkStart w:id="6" w:name="n1250"/>
            <w:bookmarkStart w:id="7" w:name="n1251"/>
            <w:bookmarkEnd w:id="6"/>
            <w:bookmarkEnd w:id="7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2.Відомості щодо транспортних засобів,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bookmarkStart w:id="8" w:name="n12501"/>
            <w:bookmarkEnd w:id="8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3.Розклад руху міського електричного та автомобільного транспорту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4.Дані про місце розміщення зупинок міського електричного та автомобільного</w:t>
            </w:r>
          </w:p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транспорту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5.Дані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7.Дані про місцезнаходження зарядних станцій для електричного транспорту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8.Дані про накладені штрафи за порушення правил паркування транспортних засобів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spacing w:lineRule="auto" w:line="240" w:before="280" w:after="280"/>
              <w:ind w:left="0" w:right="0" w:hanging="0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Звіти, у тому числі щодо задоволення запитів на інформацію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з питань запобігання та протидії корупції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Щомісяця</w:t>
            </w:r>
          </w:p>
        </w:tc>
      </w:tr>
      <w:tr>
        <w:trPr>
          <w:trHeight w:val="532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1.Міський бюджет зі всіма додатками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ніж через 10 днів  з дня його прийняття</w:t>
            </w:r>
          </w:p>
        </w:tc>
      </w:tr>
      <w:tr>
        <w:trPr>
          <w:trHeight w:val="94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2.Інформація про виконання міського бюджету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Не пізніше 1 березня року, що настає за роком звіту</w:t>
            </w:r>
          </w:p>
        </w:tc>
      </w:tr>
      <w:tr>
        <w:trPr>
          <w:trHeight w:val="94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3.Квартальні та річні звіти про виконання показників міського бюджету та затверджених міською радою програм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2-х місячний термін після закінчення звітного періоду</w:t>
            </w:r>
          </w:p>
        </w:tc>
      </w:tr>
      <w:tr>
        <w:trPr>
          <w:trHeight w:val="607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1.Паспорти бюджетних програм місцевого бюджету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Головні розпорядники бюджетних коштів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 триденний строк з дня затвердження</w:t>
            </w:r>
          </w:p>
        </w:tc>
      </w:tr>
      <w:tr>
        <w:trPr>
          <w:trHeight w:val="106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2.Звіти про виконання паспортів бюджетних програм місцевого бюджету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 триденний строк після подання таких звітів до місцевих фінансових органів</w:t>
            </w:r>
          </w:p>
        </w:tc>
      </w:tr>
      <w:tr>
        <w:trPr>
          <w:trHeight w:val="1363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Фінансова звітність суб’єктів господарювання комунального сектору економіки: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Квартальні та річні фінансові звіти (Баланс (форма № 1)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Звіт про надходження та використання коштів загального фонду (форма № 2д, № 2м)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Звіт про надходження та використання інших надходжень спеціального фонду (форма № 4-3д, № 4-3м)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Звіт про заборгованість за бюджетними коштами (форма № 7д, №7м) виконавчих органів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Розмішуються не пізніше 15 робочих днів після подання звітів до органів ДКС</w:t>
            </w:r>
          </w:p>
        </w:tc>
      </w:tr>
      <w:tr>
        <w:trPr>
          <w:trHeight w:val="831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Перелік бюджетних програм, у тому числі посилання на оприлюднені ресурси в Інтернеті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96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 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6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76" w:before="0" w:after="20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із системи обліку публічної інформації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Організаційний, загальний відділи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385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76" w:before="0" w:after="200"/>
              <w:ind w:left="0" w:right="0" w:hanging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Регламент Покровської міської ради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Організаційний відділ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_DdeLink__2616_1587890696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затвердження документа</w:t>
            </w:r>
            <w:bookmarkEnd w:id="9"/>
          </w:p>
        </w:tc>
      </w:tr>
      <w:tr>
        <w:trPr>
          <w:trHeight w:val="40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Порядок денний сесії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9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Протоколи сесії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9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Статут територіальної громади міста Покров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день голосування</w:t>
            </w:r>
          </w:p>
        </w:tc>
      </w:tr>
      <w:tr>
        <w:trPr>
          <w:trHeight w:val="529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 Висновки і рекомендації постійних депутатських комісій, протоколи їх засідань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Після засідання комісії, але не пізніше 5 робочих днів</w:t>
            </w:r>
          </w:p>
        </w:tc>
      </w:tr>
      <w:tr>
        <w:trPr>
          <w:trHeight w:val="529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 Висновки і рекомендації тимчасових комісій міської ради, протоколи їх засідань, а також рішення та звіти про їх діяльність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3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 Дані про депутатів місцевих рад, у тому числі контактну інформацію та графік прийому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56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Інформація про нормативно – правові засади діяльності виконавчого комітету  міської ради: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місце знаходження, поштова адреса, номери засобів зв’язку, адреси офіційного веб-сайту та електронної пошти; </w:t>
              <w:br/>
              <w:t>- прізвище, ім’я та ім’я по батькові керівництва міської ради та її виконавчого комітету, керівників виконавчого комітету міської ради, службові номери засобів зв’язку, адреси електронної пошти, основні функції;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графік особистого прийому громадян керівництвом Покровської міської ради та її виконавчого комітету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Загальний відділ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582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Регламент виконавчого комітету Покровської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затвердження документа</w:t>
            </w:r>
          </w:p>
        </w:tc>
      </w:tr>
      <w:tr>
        <w:trPr>
          <w:trHeight w:val="573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Порядок денний засідання виконавчого комітету міської ради, протоколи засідань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4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Положення про відділи виконавчого комітету Покровської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4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spacing w:lineRule="auto" w:line="240" w:before="280" w:after="280"/>
              <w:ind w:left="0" w:right="0" w:hanging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Адміністративні дані в значенні Закону України “Про державну статистику”, що збираються (обробляються) та підлягають оприлюдненню відповідно до вимог закону розпорядником інформації: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відомості про вакансії у виконавчих органах Покровської міської ради;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порядок проведення  конкурсу на заміщення вакантних посад посадових осіб місцевого самоврядування;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правила етичної поведінки посадових осіб Покровської міської ради та її виконавчого комітету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Загальний відділ</w:t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землекористування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</w:p>
        </w:tc>
      </w:tr>
      <w:tr>
        <w:trPr>
          <w:trHeight w:val="1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2.Перелік орендарів, з якими укладено договори оренди землі комунальної власності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Перелік заяв щодо безоплатної приватизації земельних ділянок громадянами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Дані про надані адміністративні послуги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ЦНАП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Невідкладно, але не пізніше 5 робочих днів з дня затвердження документа</w:t>
            </w:r>
          </w:p>
        </w:tc>
      </w:tr>
      <w:tr>
        <w:trPr>
          <w:trHeight w:val="30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архітектури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>
        <w:trPr>
          <w:trHeight w:val="66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7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прийняття рішення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4.Дані про видані будівельні паспорти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5.Дані містобудівного кадастру, у тому числі геопросторові дані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6.Дані про видані дозволи на порушення об’єктів благоустрою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7.Реєстр містобудівних умов та обмежень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8.Відомості щодо залучення, розрахунок розміру і використання коштів пайової участі у розвитку інфраструктури населенного пункту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9.Дані про розміщення тимчасових споруд для провадження підприємницької діяльності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2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1.Дані про розміщення громадських вбиралень комунальної власності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ПМКП “Добробут”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>
        <w:trPr>
          <w:trHeight w:val="492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2.Дані про місцезнаходження зон для вигулу домашніх тварин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2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3.Дані про вилов, стерилізацію та ідентифікацію безпритульних тварин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2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2" w:hRule="atLeast"/>
        </w:trPr>
        <w:tc>
          <w:tcPr>
            <w:tcW w:w="7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мотоді та спорту</w:t>
            </w:r>
          </w:p>
        </w:tc>
        <w:tc>
          <w:tcPr>
            <w:tcW w:w="24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>
        <w:trPr>
          <w:trHeight w:val="492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економіки, відділ землекористування, відділ архітектури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Щомісячно, але  не пізніше  20 числа наступного за звітним  місяцем</w:t>
            </w:r>
          </w:p>
        </w:tc>
      </w:tr>
      <w:tr>
        <w:trPr>
          <w:trHeight w:val="12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КНП “ЦПМСД ”</w:t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КП “ЦМЛ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ПМР ДО”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Щомісяця</w:t>
            </w:r>
          </w:p>
        </w:tc>
      </w:tr>
      <w:tr>
        <w:trPr>
          <w:trHeight w:val="12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 Дані щодо ремонту автомобільних доріг місцевого значення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3.Дані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Переліки національних стандартів для цілей застосування технічних регламентів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по роботі з зверненнями громадян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Щомісяця</w:t>
            </w:r>
          </w:p>
        </w:tc>
      </w:tr>
      <w:tr>
        <w:trPr>
          <w:trHeight w:val="1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електронні петиції, у тому числі, осіб, що їх підписали, та результати розгляду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 надходженні</w:t>
            </w:r>
          </w:p>
        </w:tc>
      </w:tr>
      <w:tr>
        <w:trPr>
          <w:trHeight w:val="120" w:hRule="atLeast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1.Дані про черги дітей у дошкільні навчальні заклади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22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Он-лайн режим</w:t>
            </w:r>
          </w:p>
        </w:tc>
      </w:tr>
      <w:tr>
        <w:trPr>
          <w:trHeight w:val="120" w:hRule="atLeast"/>
        </w:trPr>
        <w:tc>
          <w:tcPr>
            <w:tcW w:w="7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2.Території обслуговування загальноосвітніх навчальних закладів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22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обліку та розподілу житла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Щорічно, але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прийняття рішення</w:t>
            </w:r>
          </w:p>
        </w:tc>
      </w:tr>
      <w:tr>
        <w:trPr>
          <w:trHeight w:val="12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Адресний реєстр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архітектури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КНП “ЦПМСД ”</w:t>
            </w:r>
          </w:p>
          <w:p>
            <w:pPr>
              <w:pStyle w:val="Style1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 “ЦМЛ ПМР ДО”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Надходження і використання благодійної допомоги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Терцентр, ПЦСССДМ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Щоквартально,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 не пізніше 5 робочих днів наступного за звітним місяця</w:t>
            </w:r>
          </w:p>
        </w:tc>
      </w:tr>
      <w:tr>
        <w:trPr>
          <w:trHeight w:val="120" w:hRule="atLeast"/>
        </w:trPr>
        <w:tc>
          <w:tcPr>
            <w:tcW w:w="7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НС та ЦЗН</w:t>
            </w:r>
          </w:p>
        </w:tc>
        <w:tc>
          <w:tcPr>
            <w:tcW w:w="24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Мапа міста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інформаційного забезпечення – технічний супровід.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Відділи виконавчого комітету, структурні та комунальні підприємства,  управління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zxx" w:eastAsia="ru-RU" w:bidi="zxx"/>
              </w:rPr>
              <w:t>Щомісяця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* Але не рідше 1 разу на квартал та не пізніше 10 денного терміну, місяця наступного за звітним кварталом.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Начальник відділу з питань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запобігання та протидії корупції                                                   Т.А. Горчакова</w:t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sectPr>
      <w:headerReference w:type="default" r:id="rId3"/>
      <w:type w:val="nextPage"/>
      <w:pgSz w:w="11906" w:h="16838"/>
      <w:pgMar w:left="1701" w:right="567" w:header="855" w:top="1590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LibreOffice/7.1.3.2$Windows_X86_64 LibreOffice_project/47f78053abe362b9384784d31a6e56f8511eb1c1</Application>
  <AppVersion>15.0000</AppVersion>
  <Pages>10</Pages>
  <Words>2371</Words>
  <Characters>15395</Characters>
  <CharactersWithSpaces>18324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2019-04-03T07:47:37Z</dcterms:created>
  <dc:creator/>
  <dc:description/>
  <dc:language>ru-RU</dc:language>
  <cp:lastModifiedBy/>
  <cp:lastPrinted>2021-07-14T12:43:53Z</cp:lastPrinted>
  <dcterms:modified xsi:type="dcterms:W3CDTF">2021-07-14T12:53:57Z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