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>Додаток</w:t>
      </w:r>
      <w:r w:rsidR="00F361BC" w:rsidRPr="00711C18">
        <w:rPr>
          <w:rStyle w:val="st42"/>
          <w:sz w:val="16"/>
          <w:szCs w:val="16"/>
        </w:rPr>
        <w:br/>
        <w:t xml:space="preserve">до </w:t>
      </w:r>
      <w:r>
        <w:rPr>
          <w:rStyle w:val="st42"/>
          <w:sz w:val="16"/>
          <w:szCs w:val="16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ab/>
      </w:r>
      <w:r w:rsidR="00023EC8">
        <w:rPr>
          <w:rStyle w:val="st42"/>
          <w:sz w:val="16"/>
          <w:szCs w:val="16"/>
        </w:rPr>
        <w:t xml:space="preserve">15.09.2021 № 80-г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</w:t>
      </w:r>
      <w:proofErr w:type="spellStart"/>
      <w:r w:rsidRPr="00711C18">
        <w:rPr>
          <w:rStyle w:val="st161"/>
          <w:sz w:val="22"/>
          <w:szCs w:val="22"/>
        </w:rPr>
        <w:t>об’єктівобстеження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оцінкиступенябезбар’єрностіоб’єктівфізичногооточення</w:t>
      </w:r>
      <w:proofErr w:type="spellEnd"/>
      <w:r w:rsidRPr="00711C18">
        <w:rPr>
          <w:rStyle w:val="st161"/>
          <w:sz w:val="22"/>
          <w:szCs w:val="22"/>
        </w:rPr>
        <w:t xml:space="preserve">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 w:rsidTr="00243CF6">
        <w:trPr>
          <w:gridAfter w:val="1"/>
          <w:wAfter w:w="59" w:type="dxa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об’єкт</w:t>
            </w: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243CF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>16.09.2021р</w:t>
            </w:r>
            <w:r w:rsidR="00243CF6">
              <w:rPr>
                <w:rStyle w:val="st42"/>
                <w:sz w:val="22"/>
                <w:szCs w:val="22"/>
                <w:lang w:val="ru-RU"/>
              </w:rPr>
              <w:t>.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розташуванняоб’єкта</w:t>
            </w:r>
            <w:proofErr w:type="spellEnd"/>
            <w:r w:rsidR="00243CF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>вул.Горького,12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243CF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>комунальна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r w:rsidR="00243CF6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послуги</w:t>
            </w:r>
            <w:r w:rsidR="00243CF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>освітні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243CF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 xml:space="preserve">заступник директора з АГР </w:t>
            </w:r>
            <w:proofErr w:type="spellStart"/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>Берденко</w:t>
            </w:r>
            <w:proofErr w:type="spellEnd"/>
            <w:r w:rsidR="00243CF6" w:rsidRPr="00243CF6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Л.В.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43CF6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243CF6">
              <w:rPr>
                <w:rStyle w:val="st42"/>
                <w:sz w:val="22"/>
                <w:szCs w:val="22"/>
                <w:lang w:val="ru-RU"/>
              </w:rPr>
              <w:t xml:space="preserve"> +38098 241 69 65 , </w:t>
            </w:r>
            <w:proofErr w:type="spellStart"/>
            <w:r w:rsidR="00243CF6">
              <w:rPr>
                <w:rStyle w:val="st42"/>
                <w:sz w:val="22"/>
                <w:szCs w:val="22"/>
              </w:rPr>
              <w:t>ел.пошта</w:t>
            </w:r>
            <w:proofErr w:type="spellEnd"/>
            <w:r w:rsidR="00243CF6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="00243CF6">
              <w:rPr>
                <w:rStyle w:val="st42"/>
                <w:sz w:val="22"/>
                <w:szCs w:val="22"/>
                <w:lang w:val="en-US"/>
              </w:rPr>
              <w:t>orddush</w:t>
            </w:r>
            <w:proofErr w:type="spellEnd"/>
            <w:r w:rsidR="00243CF6" w:rsidRPr="00243CF6">
              <w:rPr>
                <w:rStyle w:val="st42"/>
                <w:sz w:val="22"/>
                <w:szCs w:val="22"/>
                <w:lang w:val="ru-RU"/>
              </w:rPr>
              <w:t>@</w:t>
            </w:r>
            <w:r w:rsidR="00243CF6">
              <w:rPr>
                <w:rStyle w:val="st42"/>
                <w:sz w:val="22"/>
                <w:szCs w:val="22"/>
                <w:lang w:val="en-US"/>
              </w:rPr>
              <w:t>i</w:t>
            </w:r>
            <w:r w:rsidR="00243CF6" w:rsidRPr="00243CF6">
              <w:rPr>
                <w:rStyle w:val="st42"/>
                <w:sz w:val="22"/>
                <w:szCs w:val="22"/>
                <w:lang w:val="ru-RU"/>
              </w:rPr>
              <w:t>.</w:t>
            </w:r>
            <w:proofErr w:type="spellStart"/>
            <w:r w:rsidR="00243CF6">
              <w:rPr>
                <w:rStyle w:val="st42"/>
                <w:sz w:val="22"/>
                <w:szCs w:val="22"/>
                <w:lang w:val="en-US"/>
              </w:rPr>
              <w:t>ua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43CF6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Критеріїбезбар’єрностіоб’єктівфізичногооточення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послуг для осіб з інвалідністю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43CF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безоплатного паркування транспортних засобів, якими керують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інвалідністюабоводії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якіперевозятьосіб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43CF6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43CF6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покриттянасипнихабокрупноструктурнихматеріалів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щоперешкоджаютьпересуванню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кріслах колісних або з милицями)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43CF6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43CF6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не в наявності</w:t>
            </w: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об’єкта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будівліабоспорудисходів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 xml:space="preserve">відсутні прозорі </w:t>
            </w:r>
            <w:proofErr w:type="spellStart"/>
            <w:r w:rsidRPr="008D794E">
              <w:rPr>
                <w:rStyle w:val="st42"/>
                <w:sz w:val="22"/>
                <w:szCs w:val="22"/>
              </w:rPr>
              <w:t>констукції</w:t>
            </w:r>
            <w:proofErr w:type="spellEnd"/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тамбура в наявності не має</w:t>
            </w: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турнікет відсутній</w:t>
            </w:r>
          </w:p>
        </w:tc>
      </w:tr>
      <w:tr w:rsidR="008E2EB3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8E2EB3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відсутні допоміжні приміщення</w:t>
            </w: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відсутні прозорі конструкції</w:t>
            </w: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пристрої для забезпечення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одноповерхова будівля</w:t>
            </w: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Брайля</w:t>
            </w:r>
            <w:proofErr w:type="spellEnd"/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не передбачено</w:t>
            </w: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D794E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4E" w:rsidRPr="008D794E" w:rsidRDefault="008D794E" w:rsidP="008D794E">
            <w:pPr>
              <w:jc w:val="center"/>
              <w:rPr>
                <w:rFonts w:ascii="Times New Roman" w:hAnsi="Times New Roman" w:cs="Times New Roman"/>
              </w:rPr>
            </w:pPr>
            <w:r w:rsidRPr="008D794E">
              <w:rPr>
                <w:rStyle w:val="st42"/>
                <w:rFonts w:ascii="Times New Roman" w:hAnsi="Times New Roman" w:cs="Times New Roman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4E" w:rsidRPr="00711C18" w:rsidRDefault="008D794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осіб з інвалідністю: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243CF6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8D794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8D794E" w:rsidRDefault="008D794E" w:rsidP="008D794E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8D794E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243CF6">
        <w:trPr>
          <w:gridAfter w:val="1"/>
          <w:wAfter w:w="59" w:type="dxa"/>
          <w:trHeight w:val="12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3CF6" w:rsidRDefault="00243CF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243CF6" w:rsidRDefault="00243CF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243CF6" w:rsidRDefault="00243CF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243CF6" w:rsidRPr="00711C18" w:rsidRDefault="00243CF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r w:rsidR="008D794E">
              <w:rPr>
                <w:rStyle w:val="st42"/>
                <w:b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r w:rsidR="008D794E">
              <w:rPr>
                <w:rStyle w:val="st42"/>
                <w:b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r w:rsidR="008D794E">
              <w:rPr>
                <w:rStyle w:val="st42"/>
                <w:b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8D794E" w:rsidRDefault="008D794E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8D794E" w:rsidRDefault="008D794E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8D794E" w:rsidRDefault="008D794E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8D794E" w:rsidRDefault="008D794E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8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/клієнтів/ тих, хто навчається з початку року, кількість осіб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F6" w:rsidRPr="00711C18" w:rsidRDefault="00243CF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</w:tr>
      <w:tr w:rsidR="00243CF6" w:rsidRPr="00711C18" w:rsidTr="00243CF6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711C18" w:rsidRDefault="00243CF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</w:tr>
    </w:tbl>
    <w:p w:rsidR="008E2EB3" w:rsidRPr="005A2D3F" w:rsidRDefault="004D02AA" w:rsidP="005A2D3F">
      <w:pPr>
        <w:pStyle w:val="st14"/>
        <w:rPr>
          <w:rStyle w:val="st82"/>
          <w:sz w:val="22"/>
          <w:szCs w:val="22"/>
        </w:rPr>
      </w:pPr>
      <w:r w:rsidRPr="00711C18">
        <w:rPr>
          <w:rStyle w:val="st42"/>
          <w:sz w:val="22"/>
          <w:szCs w:val="22"/>
        </w:rPr>
        <w:t xml:space="preserve">Підсумки </w:t>
      </w:r>
      <w:r w:rsidR="005A2D3F">
        <w:rPr>
          <w:rStyle w:val="st42"/>
          <w:sz w:val="22"/>
          <w:szCs w:val="22"/>
        </w:rPr>
        <w:t>______________</w:t>
      </w:r>
      <w:r w:rsidR="005A2D3F" w:rsidRPr="005A2D3F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5A2D3F" w:rsidRPr="00711C18">
        <w:rPr>
          <w:rStyle w:val="st82"/>
          <w:sz w:val="18"/>
          <w:szCs w:val="18"/>
          <w:u w:val="single"/>
        </w:rPr>
        <w:t>об’єктмаєчастковубезбар’єрність</w:t>
      </w:r>
      <w:proofErr w:type="spellEnd"/>
      <w:r w:rsidR="005A2D3F">
        <w:rPr>
          <w:rStyle w:val="st42"/>
          <w:sz w:val="22"/>
          <w:szCs w:val="22"/>
        </w:rPr>
        <w:t xml:space="preserve"> ____</w:t>
      </w:r>
      <w:r w:rsidRPr="00711C18">
        <w:rPr>
          <w:rStyle w:val="st42"/>
          <w:sz w:val="22"/>
          <w:szCs w:val="22"/>
        </w:rPr>
        <w:t>______________*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Такийоб’єктмаєвхіднугрупу</w:t>
      </w:r>
      <w:proofErr w:type="spellEnd"/>
      <w:r w:rsidRPr="00711C18">
        <w:rPr>
          <w:rStyle w:val="st82"/>
          <w:sz w:val="18"/>
          <w:szCs w:val="18"/>
        </w:rPr>
        <w:t xml:space="preserve"> в рівень з підлогою (</w:t>
      </w:r>
      <w:proofErr w:type="spellStart"/>
      <w:r w:rsidRPr="00711C18">
        <w:rPr>
          <w:rStyle w:val="st82"/>
          <w:sz w:val="18"/>
          <w:szCs w:val="18"/>
        </w:rPr>
        <w:t>абонормативний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всіх дверей не менше 90 сантиметрів, </w:t>
      </w:r>
      <w:proofErr w:type="spellStart"/>
      <w:r w:rsidRPr="00711C18">
        <w:rPr>
          <w:rStyle w:val="st82"/>
          <w:sz w:val="18"/>
          <w:szCs w:val="18"/>
        </w:rPr>
        <w:t>ліфтабопідйомник</w:t>
      </w:r>
      <w:proofErr w:type="spellEnd"/>
      <w:r w:rsidRPr="00711C18">
        <w:rPr>
          <w:rStyle w:val="st82"/>
          <w:sz w:val="18"/>
          <w:szCs w:val="18"/>
        </w:rPr>
        <w:t xml:space="preserve"> (або бути одноповерховим), щонайменше одну доступну для осіб, </w:t>
      </w:r>
      <w:proofErr w:type="spellStart"/>
      <w:r w:rsidRPr="00711C18">
        <w:rPr>
          <w:rStyle w:val="st82"/>
          <w:sz w:val="18"/>
          <w:szCs w:val="18"/>
        </w:rPr>
        <w:t>якіпересуваються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санітарно-гігієнічнукімнатуіздопоміжними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біляунітазу</w:t>
      </w:r>
      <w:proofErr w:type="spellEnd"/>
      <w:r w:rsidRPr="00711C18">
        <w:rPr>
          <w:rStyle w:val="st82"/>
          <w:sz w:val="18"/>
          <w:szCs w:val="18"/>
        </w:rPr>
        <w:t xml:space="preserve">, призначену для </w:t>
      </w:r>
      <w:proofErr w:type="spellStart"/>
      <w:r w:rsidRPr="00711C18">
        <w:rPr>
          <w:rStyle w:val="st82"/>
          <w:sz w:val="18"/>
          <w:szCs w:val="18"/>
        </w:rPr>
        <w:t>відвідувачівобох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вході;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об’єктмаєчастковубезбар’єрність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Управитель об’єкта ____________________________________</w:t>
      </w:r>
    </w:p>
    <w:p w:rsidR="004D02AA" w:rsidRPr="00711C18" w:rsidRDefault="00483251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“16” вересня</w:t>
      </w:r>
      <w:r w:rsidR="004D02AA" w:rsidRPr="00711C18">
        <w:rPr>
          <w:rStyle w:val="st42"/>
          <w:sz w:val="22"/>
          <w:szCs w:val="22"/>
        </w:rPr>
        <w:t xml:space="preserve"> 20</w:t>
      </w:r>
      <w:r>
        <w:rPr>
          <w:rStyle w:val="st42"/>
          <w:sz w:val="22"/>
          <w:szCs w:val="22"/>
        </w:rPr>
        <w:t>21</w:t>
      </w:r>
      <w:r w:rsidR="004D02AA" w:rsidRPr="00711C18">
        <w:rPr>
          <w:rStyle w:val="st42"/>
          <w:sz w:val="22"/>
          <w:szCs w:val="22"/>
        </w:rPr>
        <w:t xml:space="preserve">  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023EC8"/>
    <w:rsid w:val="00243CF6"/>
    <w:rsid w:val="002A2EC7"/>
    <w:rsid w:val="00483251"/>
    <w:rsid w:val="004D02AA"/>
    <w:rsid w:val="0057327F"/>
    <w:rsid w:val="005A2D3F"/>
    <w:rsid w:val="00682501"/>
    <w:rsid w:val="00711C18"/>
    <w:rsid w:val="008D794E"/>
    <w:rsid w:val="008E2EB3"/>
    <w:rsid w:val="00A26BE9"/>
    <w:rsid w:val="00AB1DD6"/>
    <w:rsid w:val="00BE0ABD"/>
    <w:rsid w:val="00C60A2E"/>
    <w:rsid w:val="00C62E00"/>
    <w:rsid w:val="00CA3779"/>
    <w:rsid w:val="00DD40AD"/>
    <w:rsid w:val="00E163C1"/>
    <w:rsid w:val="00F36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57327F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57327F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57327F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57327F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57327F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57327F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57327F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57327F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57327F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57327F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57327F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57327F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57327F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573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57327F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57327F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57327F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57327F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57327F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57327F"/>
    <w:rPr>
      <w:color w:val="000000"/>
    </w:rPr>
  </w:style>
  <w:style w:type="character" w:customStyle="1" w:styleId="st110">
    <w:name w:val="st110"/>
    <w:uiPriority w:val="99"/>
    <w:rsid w:val="0057327F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57327F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57327F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57327F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57327F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57327F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57327F"/>
    <w:rPr>
      <w:color w:val="000000"/>
    </w:rPr>
  </w:style>
  <w:style w:type="character" w:customStyle="1" w:styleId="st910">
    <w:name w:val="st910"/>
    <w:uiPriority w:val="99"/>
    <w:rsid w:val="0057327F"/>
    <w:rPr>
      <w:color w:val="0000FF"/>
    </w:rPr>
  </w:style>
  <w:style w:type="character" w:customStyle="1" w:styleId="st102">
    <w:name w:val="st102"/>
    <w:uiPriority w:val="99"/>
    <w:rsid w:val="0057327F"/>
    <w:rPr>
      <w:b/>
      <w:bCs/>
      <w:color w:val="000000"/>
    </w:rPr>
  </w:style>
  <w:style w:type="character" w:customStyle="1" w:styleId="st111">
    <w:name w:val="st111"/>
    <w:uiPriority w:val="99"/>
    <w:rsid w:val="0057327F"/>
    <w:rPr>
      <w:b/>
      <w:bCs/>
      <w:color w:val="0000FF"/>
    </w:rPr>
  </w:style>
  <w:style w:type="character" w:customStyle="1" w:styleId="st121">
    <w:name w:val="st121"/>
    <w:uiPriority w:val="99"/>
    <w:rsid w:val="0057327F"/>
    <w:rPr>
      <w:i/>
      <w:iCs/>
      <w:color w:val="000000"/>
    </w:rPr>
  </w:style>
  <w:style w:type="character" w:customStyle="1" w:styleId="st131">
    <w:name w:val="st131"/>
    <w:uiPriority w:val="99"/>
    <w:rsid w:val="0057327F"/>
    <w:rPr>
      <w:i/>
      <w:iCs/>
      <w:color w:val="0000FF"/>
    </w:rPr>
  </w:style>
  <w:style w:type="character" w:customStyle="1" w:styleId="st141">
    <w:name w:val="st141"/>
    <w:uiPriority w:val="99"/>
    <w:rsid w:val="0057327F"/>
    <w:rPr>
      <w:color w:val="000000"/>
      <w:sz w:val="28"/>
      <w:szCs w:val="28"/>
    </w:rPr>
  </w:style>
  <w:style w:type="character" w:customStyle="1" w:styleId="st151">
    <w:name w:val="st151"/>
    <w:uiPriority w:val="99"/>
    <w:rsid w:val="0057327F"/>
    <w:rPr>
      <w:color w:val="0000FF"/>
      <w:sz w:val="28"/>
      <w:szCs w:val="28"/>
    </w:rPr>
  </w:style>
  <w:style w:type="character" w:customStyle="1" w:styleId="st161">
    <w:name w:val="st161"/>
    <w:uiPriority w:val="99"/>
    <w:rsid w:val="0057327F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57327F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57327F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57327F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57327F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57327F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57327F"/>
    <w:rPr>
      <w:color w:val="000000"/>
      <w:sz w:val="32"/>
      <w:szCs w:val="32"/>
    </w:rPr>
  </w:style>
  <w:style w:type="character" w:customStyle="1" w:styleId="st23">
    <w:name w:val="st23"/>
    <w:uiPriority w:val="99"/>
    <w:rsid w:val="0057327F"/>
    <w:rPr>
      <w:color w:val="0000FF"/>
      <w:sz w:val="32"/>
      <w:szCs w:val="32"/>
    </w:rPr>
  </w:style>
  <w:style w:type="character" w:customStyle="1" w:styleId="st24">
    <w:name w:val="st24"/>
    <w:uiPriority w:val="99"/>
    <w:rsid w:val="0057327F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57327F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57327F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57327F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57327F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57327F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57327F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57327F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57327F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57327F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57327F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57327F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57327F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57327F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57327F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57327F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57327F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57327F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57327F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57327F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57327F"/>
    <w:rPr>
      <w:color w:val="0000FF"/>
    </w:rPr>
  </w:style>
  <w:style w:type="character" w:customStyle="1" w:styleId="st44">
    <w:name w:val="st44"/>
    <w:uiPriority w:val="99"/>
    <w:rsid w:val="0057327F"/>
    <w:rPr>
      <w:b/>
      <w:bCs/>
      <w:color w:val="000000"/>
    </w:rPr>
  </w:style>
  <w:style w:type="character" w:customStyle="1" w:styleId="st45">
    <w:name w:val="st45"/>
    <w:uiPriority w:val="99"/>
    <w:rsid w:val="0057327F"/>
    <w:rPr>
      <w:b/>
      <w:bCs/>
      <w:color w:val="0000FF"/>
    </w:rPr>
  </w:style>
  <w:style w:type="character" w:customStyle="1" w:styleId="st46">
    <w:name w:val="st46"/>
    <w:uiPriority w:val="99"/>
    <w:rsid w:val="0057327F"/>
    <w:rPr>
      <w:i/>
      <w:iCs/>
      <w:color w:val="000000"/>
    </w:rPr>
  </w:style>
  <w:style w:type="character" w:customStyle="1" w:styleId="st47">
    <w:name w:val="st47"/>
    <w:uiPriority w:val="99"/>
    <w:rsid w:val="0057327F"/>
    <w:rPr>
      <w:i/>
      <w:iCs/>
      <w:color w:val="0000FF"/>
    </w:rPr>
  </w:style>
  <w:style w:type="character" w:customStyle="1" w:styleId="st48">
    <w:name w:val="st48"/>
    <w:uiPriority w:val="99"/>
    <w:rsid w:val="0057327F"/>
    <w:rPr>
      <w:b/>
      <w:bCs/>
      <w:i/>
      <w:iCs/>
      <w:color w:val="000000"/>
    </w:rPr>
  </w:style>
  <w:style w:type="character" w:customStyle="1" w:styleId="st49">
    <w:name w:val="st49"/>
    <w:uiPriority w:val="99"/>
    <w:rsid w:val="0057327F"/>
    <w:rPr>
      <w:b/>
      <w:bCs/>
      <w:i/>
      <w:iCs/>
      <w:color w:val="0000FF"/>
    </w:rPr>
  </w:style>
  <w:style w:type="character" w:customStyle="1" w:styleId="st50">
    <w:name w:val="st50"/>
    <w:uiPriority w:val="99"/>
    <w:rsid w:val="0057327F"/>
    <w:rPr>
      <w:color w:val="000000"/>
      <w:spacing w:val="24"/>
    </w:rPr>
  </w:style>
  <w:style w:type="character" w:customStyle="1" w:styleId="st51">
    <w:name w:val="st51"/>
    <w:uiPriority w:val="99"/>
    <w:rsid w:val="0057327F"/>
    <w:rPr>
      <w:color w:val="0000FF"/>
      <w:spacing w:val="24"/>
    </w:rPr>
  </w:style>
  <w:style w:type="character" w:customStyle="1" w:styleId="st52">
    <w:name w:val="st52"/>
    <w:uiPriority w:val="99"/>
    <w:rsid w:val="0057327F"/>
    <w:rPr>
      <w:b/>
      <w:bCs/>
      <w:color w:val="000000"/>
      <w:spacing w:val="24"/>
    </w:rPr>
  </w:style>
  <w:style w:type="character" w:customStyle="1" w:styleId="st53">
    <w:name w:val="st53"/>
    <w:uiPriority w:val="99"/>
    <w:rsid w:val="0057327F"/>
    <w:rPr>
      <w:b/>
      <w:bCs/>
      <w:color w:val="0000FF"/>
      <w:spacing w:val="24"/>
    </w:rPr>
  </w:style>
  <w:style w:type="character" w:customStyle="1" w:styleId="st54">
    <w:name w:val="st54"/>
    <w:uiPriority w:val="99"/>
    <w:rsid w:val="0057327F"/>
    <w:rPr>
      <w:i/>
      <w:iCs/>
      <w:color w:val="000000"/>
      <w:spacing w:val="24"/>
    </w:rPr>
  </w:style>
  <w:style w:type="character" w:customStyle="1" w:styleId="st55">
    <w:name w:val="st55"/>
    <w:uiPriority w:val="99"/>
    <w:rsid w:val="0057327F"/>
    <w:rPr>
      <w:i/>
      <w:iCs/>
      <w:color w:val="0000FF"/>
      <w:spacing w:val="24"/>
    </w:rPr>
  </w:style>
  <w:style w:type="character" w:customStyle="1" w:styleId="st56">
    <w:name w:val="st56"/>
    <w:uiPriority w:val="99"/>
    <w:rsid w:val="0057327F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57327F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57327F"/>
    <w:rPr>
      <w:color w:val="000000"/>
      <w:sz w:val="16"/>
      <w:szCs w:val="16"/>
    </w:rPr>
  </w:style>
  <w:style w:type="character" w:customStyle="1" w:styleId="st59">
    <w:name w:val="st59"/>
    <w:uiPriority w:val="99"/>
    <w:rsid w:val="0057327F"/>
    <w:rPr>
      <w:color w:val="0000FF"/>
      <w:sz w:val="16"/>
      <w:szCs w:val="16"/>
    </w:rPr>
  </w:style>
  <w:style w:type="character" w:customStyle="1" w:styleId="st60">
    <w:name w:val="st60"/>
    <w:uiPriority w:val="99"/>
    <w:rsid w:val="0057327F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57327F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57327F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57327F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57327F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57327F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57327F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57327F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57327F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57327F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57327F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57327F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57327F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57327F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57327F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57327F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57327F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57327F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57327F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57327F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57327F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57327F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57327F"/>
    <w:rPr>
      <w:color w:val="000000"/>
      <w:sz w:val="20"/>
      <w:szCs w:val="20"/>
    </w:rPr>
  </w:style>
  <w:style w:type="character" w:customStyle="1" w:styleId="st83">
    <w:name w:val="st83"/>
    <w:uiPriority w:val="99"/>
    <w:rsid w:val="0057327F"/>
    <w:rPr>
      <w:color w:val="0000FF"/>
      <w:sz w:val="20"/>
      <w:szCs w:val="20"/>
    </w:rPr>
  </w:style>
  <w:style w:type="character" w:customStyle="1" w:styleId="st84">
    <w:name w:val="st84"/>
    <w:uiPriority w:val="99"/>
    <w:rsid w:val="0057327F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57327F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57327F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57327F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57327F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57327F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57327F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57327F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57327F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57327F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57327F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57327F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57327F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57327F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57327F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57327F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57327F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57327F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F357-2DEE-4103-8134-8869C0F6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2060</Words>
  <Characters>11746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4</cp:revision>
  <cp:lastPrinted>2021-09-14T10:12:00Z</cp:lastPrinted>
  <dcterms:created xsi:type="dcterms:W3CDTF">2021-09-17T11:19:00Z</dcterms:created>
  <dcterms:modified xsi:type="dcterms:W3CDTF">2021-10-11T12:50:00Z</dcterms:modified>
</cp:coreProperties>
</file>