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1C54" w:rsidRDefault="00E93ACC"/>
    <w:p w:rsidR="00156005" w:rsidRDefault="00156005" w:rsidP="00156005">
      <w:pPr>
        <w:widowControl w:val="0"/>
        <w:autoSpaceDE w:val="0"/>
        <w:autoSpaceDN w:val="0"/>
        <w:adjustRightInd w:val="0"/>
        <w:spacing w:before="120" w:after="120"/>
        <w:ind w:left="360" w:right="360"/>
        <w:jc w:val="center"/>
        <w:rPr>
          <w:rFonts w:eastAsia="Times New Roman"/>
          <w:b/>
          <w:bCs/>
          <w:sz w:val="22"/>
          <w:lang w:val="x-none" w:eastAsia="uk-UA"/>
        </w:rPr>
      </w:pPr>
      <w:r w:rsidRPr="00156005">
        <w:rPr>
          <w:rFonts w:eastAsia="Times New Roman"/>
          <w:b/>
          <w:bCs/>
          <w:sz w:val="22"/>
          <w:lang w:val="x-none" w:eastAsia="uk-UA"/>
        </w:rPr>
        <w:t xml:space="preserve">ІНФОРМАЦІЯ </w:t>
      </w:r>
      <w:r w:rsidRPr="00156005">
        <w:rPr>
          <w:rFonts w:eastAsia="Times New Roman"/>
          <w:b/>
          <w:bCs/>
          <w:sz w:val="22"/>
          <w:lang w:val="x-none" w:eastAsia="uk-UA"/>
        </w:rPr>
        <w:br/>
        <w:t>про проведення обстеження</w:t>
      </w:r>
      <w:r>
        <w:rPr>
          <w:rFonts w:eastAsia="Times New Roman"/>
          <w:b/>
          <w:bCs/>
          <w:sz w:val="22"/>
          <w:lang w:eastAsia="uk-UA"/>
        </w:rPr>
        <w:t xml:space="preserve"> КЗ «СЗШ № 4»</w:t>
      </w:r>
      <w:r w:rsidRPr="00156005">
        <w:rPr>
          <w:rFonts w:eastAsia="Times New Roman"/>
          <w:b/>
          <w:bCs/>
          <w:sz w:val="22"/>
          <w:lang w:val="x-none" w:eastAsia="uk-UA"/>
        </w:rPr>
        <w:t xml:space="preserve"> та оцінки ступеня </w:t>
      </w:r>
      <w:proofErr w:type="spellStart"/>
      <w:r w:rsidRPr="00156005">
        <w:rPr>
          <w:rFonts w:eastAsia="Times New Roman"/>
          <w:b/>
          <w:bCs/>
          <w:sz w:val="22"/>
          <w:lang w:val="x-none" w:eastAsia="uk-UA"/>
        </w:rPr>
        <w:t>безбар’єрності</w:t>
      </w:r>
      <w:proofErr w:type="spellEnd"/>
      <w:r w:rsidRPr="00156005">
        <w:rPr>
          <w:rFonts w:eastAsia="Times New Roman"/>
          <w:b/>
          <w:bCs/>
          <w:sz w:val="22"/>
          <w:lang w:val="x-none" w:eastAsia="uk-UA"/>
        </w:rPr>
        <w:t xml:space="preserve"> </w:t>
      </w:r>
      <w:r>
        <w:rPr>
          <w:rFonts w:eastAsia="Times New Roman"/>
          <w:b/>
          <w:bCs/>
          <w:sz w:val="22"/>
          <w:lang w:eastAsia="uk-UA"/>
        </w:rPr>
        <w:t>закладу</w:t>
      </w:r>
      <w:r w:rsidRPr="00156005">
        <w:rPr>
          <w:rFonts w:eastAsia="Times New Roman"/>
          <w:b/>
          <w:bCs/>
          <w:sz w:val="22"/>
          <w:lang w:val="x-none" w:eastAsia="uk-UA"/>
        </w:rPr>
        <w:t xml:space="preserve"> фізичного оточення і послуг для осіб з інвалідністю</w:t>
      </w:r>
    </w:p>
    <w:p w:rsidR="00156005" w:rsidRPr="00156005" w:rsidRDefault="00156005" w:rsidP="00156005">
      <w:pPr>
        <w:widowControl w:val="0"/>
        <w:autoSpaceDE w:val="0"/>
        <w:autoSpaceDN w:val="0"/>
        <w:adjustRightInd w:val="0"/>
        <w:spacing w:before="120" w:after="120"/>
        <w:ind w:left="360" w:right="360"/>
        <w:jc w:val="center"/>
        <w:rPr>
          <w:rFonts w:eastAsia="Times New Roman"/>
          <w:sz w:val="22"/>
          <w:lang w:val="x-none" w:eastAsia="uk-UA"/>
        </w:rPr>
      </w:pPr>
    </w:p>
    <w:tbl>
      <w:tblPr>
        <w:tblStyle w:val="a8"/>
        <w:tblW w:w="1034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5386"/>
      </w:tblGrid>
      <w:tr w:rsidR="00156005" w:rsidTr="0047466B">
        <w:trPr>
          <w:trHeight w:val="701"/>
        </w:trPr>
        <w:tc>
          <w:tcPr>
            <w:tcW w:w="10348" w:type="dxa"/>
            <w:gridSpan w:val="3"/>
          </w:tcPr>
          <w:p w:rsidR="00156005" w:rsidRPr="00156005" w:rsidRDefault="00156005" w:rsidP="00156005">
            <w:pPr>
              <w:widowControl w:val="0"/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b/>
                <w:bCs/>
                <w:sz w:val="22"/>
                <w:lang w:val="x-none" w:eastAsia="uk-UA"/>
              </w:rPr>
            </w:pPr>
            <w:r w:rsidRPr="00156005">
              <w:rPr>
                <w:rFonts w:eastAsia="Times New Roman"/>
                <w:b/>
                <w:bCs/>
                <w:sz w:val="24"/>
                <w:szCs w:val="24"/>
                <w:lang w:val="x-none" w:eastAsia="uk-UA"/>
              </w:rPr>
              <w:t>Загальна інформація про об’єкт</w:t>
            </w:r>
          </w:p>
        </w:tc>
      </w:tr>
      <w:tr w:rsidR="00156005" w:rsidTr="0047466B">
        <w:trPr>
          <w:trHeight w:val="552"/>
        </w:trPr>
        <w:tc>
          <w:tcPr>
            <w:tcW w:w="709" w:type="dxa"/>
          </w:tcPr>
          <w:p w:rsidR="00156005" w:rsidRPr="00156005" w:rsidRDefault="00156005" w:rsidP="00156005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sz w:val="22"/>
                <w:lang w:val="x-none"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>
              <w:rPr>
                <w:rStyle w:val="st42"/>
                <w:sz w:val="22"/>
                <w:szCs w:val="22"/>
                <w:lang w:val="uk-UA"/>
              </w:rPr>
              <w:t>:</w:t>
            </w:r>
          </w:p>
        </w:tc>
        <w:tc>
          <w:tcPr>
            <w:tcW w:w="5386" w:type="dxa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  <w:r>
              <w:rPr>
                <w:rStyle w:val="st42"/>
                <w:lang w:val="uk-UA"/>
              </w:rPr>
              <w:t>5.09.2021</w:t>
            </w:r>
          </w:p>
        </w:tc>
      </w:tr>
      <w:tr w:rsidR="00156005" w:rsidTr="0047466B">
        <w:trPr>
          <w:trHeight w:val="552"/>
        </w:trPr>
        <w:tc>
          <w:tcPr>
            <w:tcW w:w="709" w:type="dxa"/>
          </w:tcPr>
          <w:p w:rsidR="00156005" w:rsidRPr="00156005" w:rsidRDefault="00156005" w:rsidP="00156005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sz w:val="22"/>
                <w:lang w:val="x-none"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 об’єкта</w:t>
            </w:r>
            <w:r>
              <w:rPr>
                <w:rStyle w:val="st42"/>
                <w:sz w:val="22"/>
                <w:szCs w:val="22"/>
                <w:lang w:val="uk-UA"/>
              </w:rPr>
              <w:t>:</w:t>
            </w:r>
          </w:p>
        </w:tc>
        <w:tc>
          <w:tcPr>
            <w:tcW w:w="5386" w:type="dxa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Д</w:t>
            </w:r>
            <w:r>
              <w:rPr>
                <w:rStyle w:val="st42"/>
                <w:lang w:val="uk-UA"/>
              </w:rPr>
              <w:t>ніпропетровська обл., м. Покров, вул. Уральська, 2</w:t>
            </w:r>
          </w:p>
        </w:tc>
      </w:tr>
      <w:tr w:rsidR="00156005" w:rsidTr="0047466B">
        <w:trPr>
          <w:trHeight w:val="552"/>
        </w:trPr>
        <w:tc>
          <w:tcPr>
            <w:tcW w:w="709" w:type="dxa"/>
          </w:tcPr>
          <w:p w:rsidR="00156005" w:rsidRPr="00156005" w:rsidRDefault="00156005" w:rsidP="00156005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sz w:val="22"/>
                <w:lang w:val="x-none"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>
              <w:rPr>
                <w:rStyle w:val="st42"/>
                <w:sz w:val="22"/>
                <w:szCs w:val="22"/>
                <w:lang w:val="uk-UA"/>
              </w:rPr>
              <w:t>:</w:t>
            </w:r>
          </w:p>
        </w:tc>
        <w:tc>
          <w:tcPr>
            <w:tcW w:w="5386" w:type="dxa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к</w:t>
            </w:r>
            <w:r>
              <w:rPr>
                <w:rStyle w:val="st42"/>
                <w:lang w:val="uk-UA"/>
              </w:rPr>
              <w:t>омунальна</w:t>
            </w:r>
          </w:p>
        </w:tc>
      </w:tr>
      <w:tr w:rsidR="00156005" w:rsidTr="0047466B">
        <w:trPr>
          <w:trHeight w:val="552"/>
        </w:trPr>
        <w:tc>
          <w:tcPr>
            <w:tcW w:w="709" w:type="dxa"/>
          </w:tcPr>
          <w:p w:rsidR="00156005" w:rsidRPr="00156005" w:rsidRDefault="00156005" w:rsidP="00156005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sz w:val="22"/>
                <w:lang w:val="x-none"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 послуги</w:t>
            </w:r>
            <w:r>
              <w:rPr>
                <w:rStyle w:val="st42"/>
                <w:sz w:val="22"/>
                <w:szCs w:val="22"/>
                <w:lang w:val="uk-UA"/>
              </w:rPr>
              <w:t>:</w:t>
            </w:r>
          </w:p>
        </w:tc>
        <w:tc>
          <w:tcPr>
            <w:tcW w:w="5386" w:type="dxa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О</w:t>
            </w:r>
            <w:r>
              <w:rPr>
                <w:rStyle w:val="st42"/>
                <w:lang w:val="uk-UA"/>
              </w:rPr>
              <w:t>світні послуги</w:t>
            </w:r>
          </w:p>
        </w:tc>
      </w:tr>
      <w:tr w:rsidR="00156005" w:rsidTr="0047466B">
        <w:trPr>
          <w:trHeight w:val="552"/>
        </w:trPr>
        <w:tc>
          <w:tcPr>
            <w:tcW w:w="709" w:type="dxa"/>
          </w:tcPr>
          <w:p w:rsidR="00156005" w:rsidRPr="00156005" w:rsidRDefault="00156005" w:rsidP="00156005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sz w:val="22"/>
                <w:lang w:val="x-none"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>
              <w:rPr>
                <w:rStyle w:val="st42"/>
                <w:sz w:val="22"/>
                <w:szCs w:val="22"/>
                <w:lang w:val="uk-UA"/>
              </w:rPr>
              <w:t>:</w:t>
            </w:r>
          </w:p>
        </w:tc>
        <w:tc>
          <w:tcPr>
            <w:tcW w:w="5386" w:type="dxa"/>
          </w:tcPr>
          <w:p w:rsidR="00156005" w:rsidRPr="00156005" w:rsidRDefault="00DC7B7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Судольська О.О.</w:t>
            </w:r>
            <w:r>
              <w:rPr>
                <w:rStyle w:val="st42"/>
                <w:sz w:val="22"/>
                <w:lang w:val="uk-UA"/>
              </w:rPr>
              <w:t xml:space="preserve">  </w:t>
            </w:r>
          </w:p>
        </w:tc>
      </w:tr>
      <w:tr w:rsidR="00156005" w:rsidTr="0047466B">
        <w:trPr>
          <w:trHeight w:val="552"/>
        </w:trPr>
        <w:tc>
          <w:tcPr>
            <w:tcW w:w="709" w:type="dxa"/>
          </w:tcPr>
          <w:p w:rsidR="00156005" w:rsidRPr="00156005" w:rsidRDefault="00156005" w:rsidP="00156005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60"/>
              <w:jc w:val="center"/>
              <w:rPr>
                <w:rFonts w:eastAsia="Times New Roman"/>
                <w:sz w:val="22"/>
                <w:lang w:val="x-none"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6005" w:rsidRP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156005">
              <w:rPr>
                <w:rStyle w:val="st42"/>
                <w:sz w:val="20"/>
                <w:szCs w:val="20"/>
              </w:rPr>
              <w:t>(контактний номер телефону, адреса електронної пошти)</w:t>
            </w:r>
            <w:r>
              <w:rPr>
                <w:rStyle w:val="st42"/>
                <w:sz w:val="20"/>
                <w:szCs w:val="20"/>
                <w:lang w:val="uk-UA"/>
              </w:rPr>
              <w:t>:</w:t>
            </w:r>
          </w:p>
        </w:tc>
        <w:tc>
          <w:tcPr>
            <w:tcW w:w="5386" w:type="dxa"/>
          </w:tcPr>
          <w:p w:rsidR="00156005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+3809</w:t>
            </w:r>
            <w:r w:rsidR="00DC7B75">
              <w:rPr>
                <w:rStyle w:val="st42"/>
                <w:sz w:val="22"/>
                <w:szCs w:val="22"/>
                <w:lang w:val="uk-UA"/>
              </w:rPr>
              <w:t>5</w:t>
            </w:r>
            <w:r w:rsidR="00DC7B75">
              <w:rPr>
                <w:rStyle w:val="st42"/>
                <w:sz w:val="22"/>
                <w:lang w:val="uk-UA"/>
              </w:rPr>
              <w:t>3859074</w:t>
            </w:r>
            <w:bookmarkStart w:id="0" w:name="_GoBack"/>
            <w:bookmarkEnd w:id="0"/>
          </w:p>
          <w:p w:rsidR="00156005" w:rsidRPr="00711C18" w:rsidRDefault="00156005" w:rsidP="00156005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156005">
              <w:rPr>
                <w:rStyle w:val="st42"/>
                <w:sz w:val="22"/>
                <w:szCs w:val="22"/>
              </w:rPr>
              <w:t>school4pokrov@ukr.net</w:t>
            </w:r>
          </w:p>
        </w:tc>
      </w:tr>
    </w:tbl>
    <w:p w:rsidR="00156005" w:rsidRPr="00156005" w:rsidRDefault="00156005">
      <w:pPr>
        <w:rPr>
          <w:lang w:val="x-none"/>
        </w:rPr>
      </w:pPr>
    </w:p>
    <w:tbl>
      <w:tblPr>
        <w:tblStyle w:val="a8"/>
        <w:tblW w:w="0" w:type="auto"/>
        <w:tblInd w:w="-714" w:type="dxa"/>
        <w:tblLook w:val="04A0" w:firstRow="1" w:lastRow="0" w:firstColumn="1" w:lastColumn="0" w:noHBand="0" w:noVBand="1"/>
      </w:tblPr>
      <w:tblGrid>
        <w:gridCol w:w="699"/>
        <w:gridCol w:w="6802"/>
        <w:gridCol w:w="1574"/>
        <w:gridCol w:w="1267"/>
      </w:tblGrid>
      <w:tr w:rsidR="004D2AA8" w:rsidTr="004D2AA8">
        <w:trPr>
          <w:tblHeader/>
        </w:trPr>
        <w:tc>
          <w:tcPr>
            <w:tcW w:w="699" w:type="dxa"/>
            <w:vAlign w:val="center"/>
          </w:tcPr>
          <w:p w:rsidR="004D2AA8" w:rsidRDefault="004D2AA8" w:rsidP="0047466B">
            <w:pPr>
              <w:ind w:left="-109"/>
              <w:jc w:val="center"/>
              <w:rPr>
                <w:sz w:val="24"/>
                <w:szCs w:val="20"/>
              </w:rPr>
            </w:pPr>
            <w:r w:rsidRPr="004D2AA8">
              <w:rPr>
                <w:sz w:val="24"/>
                <w:szCs w:val="20"/>
              </w:rPr>
              <w:t xml:space="preserve">№ </w:t>
            </w:r>
          </w:p>
          <w:p w:rsidR="004D2AA8" w:rsidRPr="004D2AA8" w:rsidRDefault="004D2AA8" w:rsidP="0047466B">
            <w:pPr>
              <w:ind w:left="-109"/>
              <w:jc w:val="center"/>
              <w:rPr>
                <w:sz w:val="24"/>
                <w:szCs w:val="20"/>
              </w:rPr>
            </w:pPr>
            <w:r w:rsidRPr="004D2AA8">
              <w:rPr>
                <w:sz w:val="24"/>
                <w:szCs w:val="20"/>
              </w:rPr>
              <w:t>з/п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2"/>
              <w:spacing w:after="0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2"/>
              <w:spacing w:after="0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2"/>
              <w:spacing w:after="0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4D2AA8" w:rsidTr="004D2AA8">
        <w:tc>
          <w:tcPr>
            <w:tcW w:w="699" w:type="dxa"/>
            <w:shd w:val="clear" w:color="auto" w:fill="E7E6E6" w:themeFill="background2"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4D2AA8" w:rsidRDefault="004D2AA8" w:rsidP="0047466B">
            <w:r w:rsidRPr="00711C18">
              <w:rPr>
                <w:rStyle w:val="st42"/>
                <w:sz w:val="22"/>
              </w:rPr>
              <w:t>Шляхи руху до будівлі:</w:t>
            </w:r>
          </w:p>
        </w:tc>
      </w:tr>
      <w:tr w:rsidR="004D2AA8" w:rsidTr="004D2AA8">
        <w:tc>
          <w:tcPr>
            <w:tcW w:w="699" w:type="dxa"/>
            <w:vMerge w:val="restart"/>
          </w:tcPr>
          <w:p w:rsidR="004D2AA8" w:rsidRDefault="004D2AA8" w:rsidP="0047466B">
            <w:pPr>
              <w:ind w:left="360"/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перевозять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C2435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C2435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C2435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ind w:left="360"/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відсутні сходи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 w:val="restart"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4D2AA8" w:rsidRDefault="004D2AA8" w:rsidP="0047466B">
            <w:r w:rsidRPr="00711C18">
              <w:rPr>
                <w:rStyle w:val="st42"/>
                <w:sz w:val="22"/>
              </w:rPr>
              <w:t>Вхідна група:</w:t>
            </w:r>
          </w:p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вхідна група до об’єкта облаштована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будівлі або споруди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двері облаштовані спеціальними пристосуваннями для фіксації дверних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полотен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положенні “зачинено” і “відчинено”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дверні отвори без порогів і перепадів висот, </w:t>
            </w:r>
          </w:p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ширина дверних отворів становить не менш як 0,9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F6276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 w:val="restart"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4D2AA8" w:rsidRDefault="004D2AA8" w:rsidP="0047466B">
            <w:r w:rsidRPr="00711C18">
              <w:rPr>
                <w:rStyle w:val="st42"/>
                <w:sz w:val="22"/>
              </w:rPr>
              <w:t>Шляхи руху всередині будівлі, приміщення, де надається послуга, допоміжні приміщення:</w:t>
            </w:r>
          </w:p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руху осіб з інвалідністю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полотен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положенні “зачинено” і “відчинено”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̶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обладнання відсутнє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9058E0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5937AF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номери поверхів,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Брайля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711C18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165F63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232C65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232C65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 w:val="restart"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4D2AA8" w:rsidRDefault="004D2AA8" w:rsidP="0047466B">
            <w:proofErr w:type="spellStart"/>
            <w:r w:rsidRPr="00711C18">
              <w:rPr>
                <w:rStyle w:val="st42"/>
                <w:sz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</w:rPr>
              <w:t xml:space="preserve"> послуг для осіб з інвалідністю: </w:t>
            </w:r>
          </w:p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232C65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267" w:type="dxa"/>
          </w:tcPr>
          <w:p w:rsidR="004D2AA8" w:rsidRDefault="004D2AA8" w:rsidP="0047466B"/>
        </w:tc>
      </w:tr>
      <w:tr w:rsidR="004D2AA8" w:rsidTr="004D2AA8">
        <w:tc>
          <w:tcPr>
            <w:tcW w:w="699" w:type="dxa"/>
            <w:vMerge/>
          </w:tcPr>
          <w:p w:rsidR="004D2AA8" w:rsidRDefault="004D2AA8" w:rsidP="0047466B">
            <w:pPr>
              <w:pStyle w:val="a9"/>
              <w:numPr>
                <w:ilvl w:val="0"/>
                <w:numId w:val="2"/>
              </w:num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A8" w:rsidRPr="00711C18" w:rsidRDefault="004D2AA8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8" w:rsidRPr="00232C65" w:rsidRDefault="004D2AA8" w:rsidP="0047466B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267" w:type="dxa"/>
          </w:tcPr>
          <w:p w:rsidR="004D2AA8" w:rsidRDefault="004D2AA8" w:rsidP="0047466B"/>
        </w:tc>
      </w:tr>
    </w:tbl>
    <w:p w:rsidR="002351CE" w:rsidRDefault="002351CE"/>
    <w:p w:rsidR="0047466B" w:rsidRDefault="0047466B"/>
    <w:tbl>
      <w:tblPr>
        <w:tblStyle w:val="a8"/>
        <w:tblW w:w="0" w:type="auto"/>
        <w:tblInd w:w="-714" w:type="dxa"/>
        <w:tblLook w:val="04A0" w:firstRow="1" w:lastRow="0" w:firstColumn="1" w:lastColumn="0" w:noHBand="0" w:noVBand="1"/>
      </w:tblPr>
      <w:tblGrid>
        <w:gridCol w:w="2231"/>
        <w:gridCol w:w="1544"/>
        <w:gridCol w:w="1719"/>
        <w:gridCol w:w="1635"/>
        <w:gridCol w:w="1635"/>
        <w:gridCol w:w="1578"/>
      </w:tblGrid>
      <w:tr w:rsidR="0047466B" w:rsidTr="0047466B">
        <w:tc>
          <w:tcPr>
            <w:tcW w:w="2231" w:type="dxa"/>
            <w:vMerge w:val="restart"/>
          </w:tcPr>
          <w:p w:rsidR="0047466B" w:rsidRDefault="0047466B"/>
        </w:tc>
        <w:tc>
          <w:tcPr>
            <w:tcW w:w="1544" w:type="dxa"/>
            <w:vMerge w:val="restart"/>
            <w:vAlign w:val="center"/>
          </w:tcPr>
          <w:p w:rsidR="0047466B" w:rsidRDefault="0047466B" w:rsidP="0047466B">
            <w:pPr>
              <w:jc w:val="center"/>
            </w:pPr>
            <w:r w:rsidRPr="0047466B">
              <w:rPr>
                <w:sz w:val="22"/>
                <w:szCs w:val="18"/>
              </w:rPr>
              <w:t>Усього осіб з інвалідністю</w:t>
            </w:r>
          </w:p>
        </w:tc>
        <w:tc>
          <w:tcPr>
            <w:tcW w:w="6567" w:type="dxa"/>
            <w:gridSpan w:val="4"/>
            <w:vAlign w:val="center"/>
          </w:tcPr>
          <w:p w:rsidR="0047466B" w:rsidRDefault="0047466B" w:rsidP="0047466B">
            <w:pPr>
              <w:jc w:val="center"/>
            </w:pPr>
            <w:r w:rsidRPr="0047466B">
              <w:rPr>
                <w:sz w:val="22"/>
                <w:szCs w:val="18"/>
              </w:rPr>
              <w:t>З них</w:t>
            </w:r>
          </w:p>
        </w:tc>
      </w:tr>
      <w:tr w:rsidR="0047466B" w:rsidTr="0047466B">
        <w:tc>
          <w:tcPr>
            <w:tcW w:w="2231" w:type="dxa"/>
            <w:vMerge/>
          </w:tcPr>
          <w:p w:rsidR="0047466B" w:rsidRDefault="0047466B" w:rsidP="0047466B"/>
        </w:tc>
        <w:tc>
          <w:tcPr>
            <w:tcW w:w="1544" w:type="dxa"/>
            <w:vMerge/>
            <w:vAlign w:val="center"/>
          </w:tcPr>
          <w:p w:rsidR="0047466B" w:rsidRDefault="0047466B" w:rsidP="0047466B">
            <w:pPr>
              <w:jc w:val="center"/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66B" w:rsidRPr="0047466B" w:rsidRDefault="0047466B" w:rsidP="0047466B">
            <w:pPr>
              <w:pStyle w:val="st12"/>
              <w:spacing w:before="0" w:after="0"/>
              <w:rPr>
                <w:rStyle w:val="st44"/>
                <w:b w:val="0"/>
                <w:bCs w:val="0"/>
                <w:sz w:val="22"/>
                <w:szCs w:val="22"/>
              </w:rPr>
            </w:pPr>
            <w:r w:rsidRPr="0047466B">
              <w:rPr>
                <w:rStyle w:val="st44"/>
                <w:b w:val="0"/>
                <w:bCs w:val="0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66B" w:rsidRPr="0047466B" w:rsidRDefault="0047466B" w:rsidP="0047466B">
            <w:pPr>
              <w:pStyle w:val="st12"/>
              <w:spacing w:before="0" w:after="0"/>
              <w:rPr>
                <w:rStyle w:val="st44"/>
                <w:b w:val="0"/>
                <w:bCs w:val="0"/>
                <w:sz w:val="22"/>
                <w:szCs w:val="22"/>
              </w:rPr>
            </w:pPr>
            <w:r w:rsidRPr="0047466B">
              <w:rPr>
                <w:rStyle w:val="st44"/>
                <w:b w:val="0"/>
                <w:bCs w:val="0"/>
                <w:sz w:val="22"/>
                <w:szCs w:val="22"/>
              </w:rPr>
              <w:t>з порушенням зору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66B" w:rsidRPr="0047466B" w:rsidRDefault="0047466B" w:rsidP="0047466B">
            <w:pPr>
              <w:pStyle w:val="st12"/>
              <w:spacing w:before="0" w:after="0"/>
              <w:rPr>
                <w:rStyle w:val="st44"/>
                <w:b w:val="0"/>
                <w:bCs w:val="0"/>
                <w:sz w:val="22"/>
                <w:szCs w:val="22"/>
              </w:rPr>
            </w:pPr>
            <w:r w:rsidRPr="0047466B">
              <w:rPr>
                <w:rStyle w:val="st44"/>
                <w:b w:val="0"/>
                <w:bCs w:val="0"/>
                <w:sz w:val="22"/>
                <w:szCs w:val="22"/>
              </w:rPr>
              <w:t>з порушенням слуху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66B" w:rsidRPr="0047466B" w:rsidRDefault="0047466B" w:rsidP="0047466B">
            <w:pPr>
              <w:pStyle w:val="st12"/>
              <w:spacing w:before="0" w:after="0"/>
              <w:rPr>
                <w:rStyle w:val="st44"/>
                <w:b w:val="0"/>
                <w:bCs w:val="0"/>
                <w:sz w:val="22"/>
                <w:szCs w:val="22"/>
              </w:rPr>
            </w:pPr>
            <w:r w:rsidRPr="0047466B">
              <w:rPr>
                <w:rStyle w:val="st44"/>
                <w:b w:val="0"/>
                <w:bCs w:val="0"/>
                <w:sz w:val="22"/>
                <w:szCs w:val="22"/>
              </w:rPr>
              <w:t>мають інші порушення</w:t>
            </w:r>
          </w:p>
        </w:tc>
      </w:tr>
      <w:tr w:rsidR="0047466B" w:rsidTr="0047466B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232C65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232C65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  <w:tr w:rsidR="0047466B" w:rsidTr="0047466B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</w:tr>
      <w:tr w:rsidR="0047466B" w:rsidTr="00721ED7">
        <w:tc>
          <w:tcPr>
            <w:tcW w:w="10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47466B">
              <w:rPr>
                <w:rStyle w:val="st42"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47466B" w:rsidTr="0047466B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232C65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232C65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5</w:t>
            </w:r>
          </w:p>
        </w:tc>
      </w:tr>
      <w:tr w:rsidR="0047466B" w:rsidTr="0047466B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232C65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711C18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−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6B" w:rsidRPr="00232C65" w:rsidRDefault="0047466B" w:rsidP="0047466B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</w:tbl>
    <w:p w:rsidR="004D2AA8" w:rsidRDefault="004D2AA8"/>
    <w:p w:rsidR="009058E0" w:rsidRPr="009058E0" w:rsidRDefault="009058E0" w:rsidP="009058E0">
      <w:pPr>
        <w:rPr>
          <w:lang w:val="x-none"/>
        </w:rPr>
      </w:pPr>
      <w:r w:rsidRPr="009058E0">
        <w:rPr>
          <w:b/>
          <w:bCs/>
          <w:lang w:val="x-none"/>
        </w:rPr>
        <w:t>Підсумки</w:t>
      </w:r>
      <w:r>
        <w:rPr>
          <w:b/>
          <w:bCs/>
        </w:rPr>
        <w:t>:</w:t>
      </w:r>
      <w:r w:rsidRPr="009058E0">
        <w:rPr>
          <w:lang w:val="x-none"/>
        </w:rPr>
        <w:t xml:space="preserve"> </w:t>
      </w:r>
      <w:r w:rsidRPr="009058E0">
        <w:rPr>
          <w:u w:val="single"/>
          <w:lang w:val="x-none"/>
        </w:rPr>
        <w:t xml:space="preserve">об’єкт має часткову </w:t>
      </w:r>
      <w:proofErr w:type="spellStart"/>
      <w:r w:rsidRPr="009058E0">
        <w:rPr>
          <w:u w:val="single"/>
          <w:lang w:val="x-none"/>
        </w:rPr>
        <w:t>безбар’єрність</w:t>
      </w:r>
      <w:proofErr w:type="spellEnd"/>
      <w:r w:rsidRPr="009058E0">
        <w:rPr>
          <w:lang w:val="x-none"/>
        </w:rPr>
        <w:t xml:space="preserve"> *</w:t>
      </w:r>
    </w:p>
    <w:p w:rsidR="009058E0" w:rsidRDefault="009058E0" w:rsidP="009058E0">
      <w:pPr>
        <w:rPr>
          <w:sz w:val="16"/>
          <w:szCs w:val="12"/>
          <w:u w:val="single"/>
          <w:lang w:val="x-none"/>
        </w:rPr>
      </w:pPr>
      <w:r w:rsidRPr="009058E0">
        <w:rPr>
          <w:lang w:val="x-none"/>
        </w:rPr>
        <w:t>_________</w:t>
      </w:r>
      <w:r w:rsidRPr="009058E0">
        <w:rPr>
          <w:lang w:val="x-none"/>
        </w:rPr>
        <w:br/>
      </w:r>
    </w:p>
    <w:p w:rsidR="009058E0" w:rsidRPr="009058E0" w:rsidRDefault="009058E0" w:rsidP="009058E0">
      <w:pPr>
        <w:rPr>
          <w:sz w:val="22"/>
          <w:szCs w:val="18"/>
          <w:lang w:val="x-none"/>
        </w:rPr>
      </w:pPr>
      <w:r>
        <w:rPr>
          <w:sz w:val="22"/>
          <w:szCs w:val="18"/>
        </w:rPr>
        <w:t>*</w:t>
      </w:r>
      <w:r w:rsidRPr="009058E0">
        <w:rPr>
          <w:sz w:val="22"/>
          <w:szCs w:val="18"/>
          <w:lang w:val="x-none"/>
        </w:rPr>
        <w:t>Зазначається:</w:t>
      </w:r>
    </w:p>
    <w:p w:rsidR="009058E0" w:rsidRDefault="009058E0" w:rsidP="009058E0">
      <w:pPr>
        <w:rPr>
          <w:sz w:val="16"/>
          <w:szCs w:val="12"/>
          <w:lang w:val="x-none"/>
        </w:rPr>
      </w:pPr>
      <w:r w:rsidRPr="009058E0">
        <w:rPr>
          <w:sz w:val="16"/>
          <w:szCs w:val="12"/>
          <w:u w:val="single"/>
          <w:lang w:val="x-none"/>
        </w:rPr>
        <w:t xml:space="preserve">об’єкт є </w:t>
      </w:r>
      <w:proofErr w:type="spellStart"/>
      <w:r w:rsidRPr="009058E0">
        <w:rPr>
          <w:sz w:val="16"/>
          <w:szCs w:val="12"/>
          <w:u w:val="single"/>
          <w:lang w:val="x-none"/>
        </w:rPr>
        <w:t>безбар’єрним</w:t>
      </w:r>
      <w:proofErr w:type="spellEnd"/>
      <w:r w:rsidRPr="009058E0">
        <w:rPr>
          <w:sz w:val="16"/>
          <w:szCs w:val="12"/>
          <w:lang w:val="x-none"/>
        </w:rPr>
        <w:t>. Людина, яка користується кріслом колісним або є незрячою, може самостійно зайти на об’єкт та вільно в ньому</w:t>
      </w:r>
      <w:r>
        <w:rPr>
          <w:sz w:val="16"/>
          <w:szCs w:val="12"/>
        </w:rPr>
        <w:t xml:space="preserve"> </w:t>
      </w:r>
      <w:r w:rsidRPr="009058E0">
        <w:rPr>
          <w:sz w:val="16"/>
          <w:szCs w:val="12"/>
          <w:lang w:val="x-none"/>
        </w:rPr>
        <w:t>пересуватися та скористатися евакуаційним виходом. Такий об’єкт має вхідну групу в рівень з підлогою (або нормативний пандус чи</w:t>
      </w:r>
      <w:r>
        <w:rPr>
          <w:sz w:val="16"/>
          <w:szCs w:val="12"/>
        </w:rPr>
        <w:t xml:space="preserve"> </w:t>
      </w:r>
      <w:r w:rsidRPr="009058E0">
        <w:rPr>
          <w:sz w:val="16"/>
          <w:szCs w:val="12"/>
          <w:lang w:val="x-none"/>
        </w:rPr>
        <w:t>підйомник), ширину всіх дверей не менше 90 сантиметрів, ліфт або підйомник (або бути одноповерховим), щонайменше одну доступну для</w:t>
      </w:r>
      <w:r>
        <w:rPr>
          <w:sz w:val="16"/>
          <w:szCs w:val="12"/>
        </w:rPr>
        <w:t xml:space="preserve"> </w:t>
      </w:r>
      <w:r w:rsidRPr="009058E0">
        <w:rPr>
          <w:sz w:val="16"/>
          <w:szCs w:val="12"/>
          <w:lang w:val="x-none"/>
        </w:rPr>
        <w:t>осіб, які пересуваються на кріслах колісних, санітарно-гігієнічну кімнату із допоміжними поручнями біля унітазу, призначену для</w:t>
      </w:r>
      <w:r>
        <w:rPr>
          <w:sz w:val="16"/>
          <w:szCs w:val="12"/>
        </w:rPr>
        <w:t xml:space="preserve"> </w:t>
      </w:r>
      <w:r w:rsidRPr="009058E0">
        <w:rPr>
          <w:sz w:val="16"/>
          <w:szCs w:val="12"/>
          <w:lang w:val="x-none"/>
        </w:rPr>
        <w:t>відвідувачів обох статей, тактильні направляючі та одну мнемосхему при вході;</w:t>
      </w:r>
    </w:p>
    <w:p w:rsidR="009058E0" w:rsidRDefault="009058E0" w:rsidP="009058E0">
      <w:pPr>
        <w:rPr>
          <w:sz w:val="16"/>
          <w:szCs w:val="12"/>
          <w:lang w:val="x-none"/>
        </w:rPr>
      </w:pPr>
    </w:p>
    <w:p w:rsidR="009058E0" w:rsidRPr="009058E0" w:rsidRDefault="009058E0" w:rsidP="009058E0">
      <w:pPr>
        <w:rPr>
          <w:sz w:val="16"/>
          <w:szCs w:val="12"/>
          <w:lang w:val="x-none"/>
        </w:rPr>
      </w:pPr>
      <w:r w:rsidRPr="009058E0">
        <w:rPr>
          <w:sz w:val="16"/>
          <w:szCs w:val="12"/>
          <w:u w:val="single"/>
          <w:lang w:val="x-none"/>
        </w:rPr>
        <w:t xml:space="preserve">об’єкт має часткову </w:t>
      </w:r>
      <w:proofErr w:type="spellStart"/>
      <w:r w:rsidRPr="009058E0">
        <w:rPr>
          <w:sz w:val="16"/>
          <w:szCs w:val="12"/>
          <w:u w:val="single"/>
          <w:lang w:val="x-none"/>
        </w:rPr>
        <w:t>безбар’єрність</w:t>
      </w:r>
      <w:proofErr w:type="spellEnd"/>
      <w:r w:rsidRPr="009058E0">
        <w:rPr>
          <w:sz w:val="16"/>
          <w:szCs w:val="12"/>
          <w:lang w:val="x-none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Pr="009058E0">
        <w:rPr>
          <w:sz w:val="16"/>
          <w:szCs w:val="12"/>
        </w:rPr>
        <w:t xml:space="preserve"> </w:t>
      </w:r>
      <w:r w:rsidRPr="009058E0">
        <w:rPr>
          <w:sz w:val="16"/>
          <w:szCs w:val="12"/>
          <w:lang w:val="x-none"/>
        </w:rPr>
        <w:t>об’єкт є бар’єрним. Всі інші об’єкти, крім тих, що належать до першого та другого рівня.</w:t>
      </w:r>
    </w:p>
    <w:p w:rsidR="009058E0" w:rsidRDefault="009058E0">
      <w:pPr>
        <w:rPr>
          <w:lang w:val="x-none"/>
        </w:rPr>
      </w:pPr>
    </w:p>
    <w:p w:rsidR="009058E0" w:rsidRPr="009058E0" w:rsidRDefault="009058E0" w:rsidP="009058E0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eastAsia="Times New Roman"/>
          <w:sz w:val="24"/>
          <w:szCs w:val="24"/>
          <w:lang w:eastAsia="uk-UA"/>
        </w:rPr>
      </w:pPr>
      <w:r w:rsidRPr="009058E0">
        <w:rPr>
          <w:rFonts w:eastAsia="Times New Roman"/>
          <w:sz w:val="24"/>
          <w:szCs w:val="24"/>
          <w:lang w:eastAsia="uk-UA"/>
        </w:rPr>
        <w:t>Директор школи                                                    С.І. Главацька</w:t>
      </w:r>
    </w:p>
    <w:p w:rsidR="009058E0" w:rsidRPr="009058E0" w:rsidRDefault="009058E0" w:rsidP="009058E0">
      <w:pPr>
        <w:widowControl w:val="0"/>
        <w:autoSpaceDE w:val="0"/>
        <w:autoSpaceDN w:val="0"/>
        <w:adjustRightInd w:val="0"/>
        <w:spacing w:before="120" w:after="120"/>
        <w:jc w:val="left"/>
        <w:rPr>
          <w:rFonts w:eastAsia="Times New Roman"/>
          <w:sz w:val="24"/>
          <w:szCs w:val="24"/>
          <w:lang w:val="x-none" w:eastAsia="uk-UA"/>
        </w:rPr>
      </w:pPr>
      <w:r w:rsidRPr="009058E0">
        <w:rPr>
          <w:rFonts w:eastAsia="Times New Roman"/>
          <w:sz w:val="24"/>
          <w:szCs w:val="24"/>
          <w:lang w:eastAsia="uk-UA"/>
        </w:rPr>
        <w:t>15.09.2021</w:t>
      </w:r>
      <w:r w:rsidRPr="009058E0">
        <w:rPr>
          <w:rFonts w:eastAsia="Times New Roman"/>
          <w:sz w:val="24"/>
          <w:szCs w:val="24"/>
          <w:lang w:val="x-none" w:eastAsia="uk-UA"/>
        </w:rPr>
        <w:t xml:space="preserve"> р.</w:t>
      </w:r>
    </w:p>
    <w:sectPr w:rsidR="009058E0" w:rsidRPr="009058E0" w:rsidSect="0096559B">
      <w:headerReference w:type="default" r:id="rId7"/>
      <w:headerReference w:type="first" r:id="rId8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3ACC" w:rsidRDefault="00E93ACC" w:rsidP="00CB666C">
      <w:r>
        <w:separator/>
      </w:r>
    </w:p>
  </w:endnote>
  <w:endnote w:type="continuationSeparator" w:id="0">
    <w:p w:rsidR="00E93ACC" w:rsidRDefault="00E93ACC" w:rsidP="00CB6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3ACC" w:rsidRDefault="00E93ACC" w:rsidP="00CB666C">
      <w:r>
        <w:separator/>
      </w:r>
    </w:p>
  </w:footnote>
  <w:footnote w:type="continuationSeparator" w:id="0">
    <w:p w:rsidR="00E93ACC" w:rsidRDefault="00E93ACC" w:rsidP="00CB6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666C" w:rsidRPr="0096559B" w:rsidRDefault="00CB666C" w:rsidP="0096559B">
    <w:pPr>
      <w:pStyle w:val="a3"/>
    </w:pPr>
    <w:r w:rsidRPr="0096559B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559B" w:rsidRPr="00CB666C" w:rsidRDefault="0096559B" w:rsidP="0096559B">
    <w:pPr>
      <w:widowControl w:val="0"/>
      <w:tabs>
        <w:tab w:val="left" w:pos="709"/>
      </w:tabs>
      <w:jc w:val="center"/>
      <w:rPr>
        <w:rFonts w:eastAsia="MS Mincho"/>
        <w:b/>
        <w:color w:val="FF0000"/>
        <w:sz w:val="28"/>
        <w:szCs w:val="28"/>
        <w:lang w:eastAsia="zh-CN"/>
      </w:rPr>
    </w:pPr>
    <w:r w:rsidRPr="00CB666C">
      <w:rPr>
        <w:rFonts w:ascii="Calibri" w:eastAsia="MS Mincho" w:hAnsi="Calibri" w:cs="Calibri"/>
        <w:color w:val="00000A"/>
        <w:sz w:val="22"/>
        <w:lang w:eastAsia="zh-CN"/>
      </w:rPr>
      <w:object w:dxaOrig="2400" w:dyaOrig="2910" w14:anchorId="3C75AD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4pt;height:33.6pt" filled="t">
          <v:fill color2="black"/>
          <v:imagedata r:id="rId1" o:title=""/>
        </v:shape>
        <o:OLEObject Type="Embed" ProgID="PBrush" ShapeID="_x0000_i1025" DrawAspect="Content" ObjectID="_1693287158" r:id="rId2"/>
      </w:object>
    </w:r>
  </w:p>
  <w:p w:rsidR="0096559B" w:rsidRPr="0096559B" w:rsidRDefault="0096559B" w:rsidP="0096559B">
    <w:pPr>
      <w:jc w:val="center"/>
      <w:rPr>
        <w:b/>
        <w:sz w:val="18"/>
      </w:rPr>
    </w:pPr>
    <w:r w:rsidRPr="0096559B">
      <w:rPr>
        <w:b/>
        <w:sz w:val="18"/>
      </w:rPr>
      <w:t xml:space="preserve">Управління освіти </w:t>
    </w:r>
  </w:p>
  <w:p w:rsidR="0096559B" w:rsidRPr="0096559B" w:rsidRDefault="0096559B" w:rsidP="0096559B">
    <w:pPr>
      <w:jc w:val="center"/>
      <w:rPr>
        <w:b/>
        <w:sz w:val="18"/>
      </w:rPr>
    </w:pPr>
    <w:r w:rsidRPr="0096559B">
      <w:rPr>
        <w:b/>
        <w:sz w:val="18"/>
      </w:rPr>
      <w:t>виконавчого комітету Покровської міської ради</w:t>
    </w:r>
  </w:p>
  <w:p w:rsidR="0096559B" w:rsidRPr="0096559B" w:rsidRDefault="0096559B" w:rsidP="0096559B">
    <w:pPr>
      <w:jc w:val="center"/>
      <w:rPr>
        <w:b/>
        <w:sz w:val="18"/>
      </w:rPr>
    </w:pPr>
    <w:r w:rsidRPr="0096559B">
      <w:rPr>
        <w:b/>
        <w:sz w:val="18"/>
      </w:rPr>
      <w:t xml:space="preserve">Комунальний заклад «Середня загальноосвітня школа № 4 </w:t>
    </w:r>
  </w:p>
  <w:p w:rsidR="0096559B" w:rsidRPr="0096559B" w:rsidRDefault="0096559B" w:rsidP="0096559B">
    <w:pPr>
      <w:jc w:val="center"/>
      <w:rPr>
        <w:b/>
        <w:sz w:val="18"/>
      </w:rPr>
    </w:pPr>
    <w:r w:rsidRPr="0096559B">
      <w:rPr>
        <w:b/>
        <w:sz w:val="18"/>
      </w:rPr>
      <w:t>м. Покров Дніпропетровської області»</w:t>
    </w:r>
  </w:p>
  <w:p w:rsidR="0096559B" w:rsidRPr="0096559B" w:rsidRDefault="0096559B" w:rsidP="0096559B">
    <w:pPr>
      <w:suppressAutoHyphens/>
      <w:jc w:val="center"/>
      <w:rPr>
        <w:rFonts w:eastAsia="MS Mincho"/>
        <w:sz w:val="14"/>
        <w:szCs w:val="28"/>
        <w:lang w:eastAsia="zh-CN"/>
      </w:rPr>
    </w:pPr>
    <w:r w:rsidRPr="0096559B">
      <w:rPr>
        <w:rFonts w:eastAsia="MS Mincho"/>
        <w:sz w:val="14"/>
        <w:szCs w:val="28"/>
        <w:lang w:eastAsia="zh-CN"/>
      </w:rPr>
      <w:t>вул. Уральська, 2, м. Покров Дніпропетровської обл.,</w:t>
    </w:r>
  </w:p>
  <w:p w:rsidR="0096559B" w:rsidRPr="0096559B" w:rsidRDefault="0096559B" w:rsidP="0096559B">
    <w:pPr>
      <w:suppressAutoHyphens/>
      <w:jc w:val="center"/>
      <w:rPr>
        <w:rFonts w:eastAsia="MS Mincho"/>
        <w:sz w:val="14"/>
        <w:szCs w:val="28"/>
        <w:lang w:eastAsia="zh-CN"/>
      </w:rPr>
    </w:pPr>
    <w:r w:rsidRPr="0096559B">
      <w:rPr>
        <w:rFonts w:eastAsia="MS Mincho"/>
        <w:sz w:val="14"/>
        <w:szCs w:val="28"/>
        <w:lang w:eastAsia="zh-CN"/>
      </w:rPr>
      <w:t>53300 тел. 0(5667)4-21-71, e-mail: school4</w:t>
    </w:r>
    <w:r w:rsidRPr="0096559B">
      <w:rPr>
        <w:rFonts w:eastAsia="MS Mincho"/>
        <w:sz w:val="14"/>
        <w:szCs w:val="28"/>
        <w:lang w:val="en-US" w:eastAsia="zh-CN"/>
      </w:rPr>
      <w:t>pokrov</w:t>
    </w:r>
    <w:r w:rsidRPr="0096559B">
      <w:rPr>
        <w:rFonts w:eastAsia="MS Mincho"/>
        <w:sz w:val="14"/>
        <w:szCs w:val="28"/>
        <w:lang w:eastAsia="zh-CN"/>
      </w:rPr>
      <w:t>@ukr.net</w:t>
    </w:r>
  </w:p>
  <w:p w:rsidR="0096559B" w:rsidRPr="0096559B" w:rsidRDefault="0096559B" w:rsidP="0096559B">
    <w:pPr>
      <w:suppressAutoHyphens/>
      <w:jc w:val="center"/>
      <w:rPr>
        <w:rFonts w:eastAsia="MS Mincho"/>
        <w:sz w:val="14"/>
        <w:szCs w:val="28"/>
        <w:lang w:eastAsia="zh-CN"/>
      </w:rPr>
    </w:pPr>
    <w:r w:rsidRPr="0096559B">
      <w:rPr>
        <w:rFonts w:eastAsia="MS Mincho"/>
        <w:sz w:val="14"/>
        <w:szCs w:val="28"/>
        <w:lang w:eastAsia="zh-CN"/>
      </w:rPr>
      <w:t>Код ЄДРПОУ   26462465</w:t>
    </w:r>
  </w:p>
  <w:p w:rsidR="0096559B" w:rsidRPr="0096559B" w:rsidRDefault="0096559B" w:rsidP="0096559B">
    <w:pPr>
      <w:suppressAutoHyphens/>
      <w:jc w:val="center"/>
      <w:rPr>
        <w:rFonts w:eastAsia="MS Mincho"/>
        <w:sz w:val="18"/>
        <w:szCs w:val="28"/>
        <w:lang w:eastAsia="zh-CN"/>
      </w:rPr>
    </w:pPr>
  </w:p>
  <w:p w:rsidR="0096559B" w:rsidRPr="0096559B" w:rsidRDefault="0096559B" w:rsidP="0096559B">
    <w:pPr>
      <w:suppressAutoHyphens/>
      <w:rPr>
        <w:rFonts w:eastAsia="MS Mincho"/>
        <w:sz w:val="22"/>
        <w:szCs w:val="28"/>
        <w:lang w:eastAsia="zh-CN"/>
      </w:rPr>
    </w:pPr>
    <w:r w:rsidRPr="0096559B">
      <w:rPr>
        <w:rFonts w:eastAsia="MS Mincho"/>
        <w:sz w:val="22"/>
        <w:szCs w:val="28"/>
        <w:lang w:eastAsia="zh-CN"/>
      </w:rPr>
      <w:t xml:space="preserve">_____________  №  _____ 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475CC1"/>
    <w:multiLevelType w:val="hybridMultilevel"/>
    <w:tmpl w:val="47448C44"/>
    <w:lvl w:ilvl="0" w:tplc="F4ECB9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A6578"/>
    <w:multiLevelType w:val="hybridMultilevel"/>
    <w:tmpl w:val="018A498A"/>
    <w:lvl w:ilvl="0" w:tplc="F4ECB9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08"/>
  <w:hyphenationZone w:val="425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05"/>
    <w:rsid w:val="00090AFE"/>
    <w:rsid w:val="000949A0"/>
    <w:rsid w:val="000E5FE2"/>
    <w:rsid w:val="00135A9C"/>
    <w:rsid w:val="0013785E"/>
    <w:rsid w:val="00156005"/>
    <w:rsid w:val="00182E61"/>
    <w:rsid w:val="001D2D46"/>
    <w:rsid w:val="002351CE"/>
    <w:rsid w:val="00247222"/>
    <w:rsid w:val="00263C9F"/>
    <w:rsid w:val="002F48F5"/>
    <w:rsid w:val="002F4DEA"/>
    <w:rsid w:val="0030036C"/>
    <w:rsid w:val="0034120D"/>
    <w:rsid w:val="0035198C"/>
    <w:rsid w:val="00364225"/>
    <w:rsid w:val="003B7D8A"/>
    <w:rsid w:val="00436336"/>
    <w:rsid w:val="004574CA"/>
    <w:rsid w:val="0047466B"/>
    <w:rsid w:val="004C6F4A"/>
    <w:rsid w:val="004D2AA8"/>
    <w:rsid w:val="00514411"/>
    <w:rsid w:val="005931BA"/>
    <w:rsid w:val="00596CD3"/>
    <w:rsid w:val="005D02D3"/>
    <w:rsid w:val="005D0806"/>
    <w:rsid w:val="006209F3"/>
    <w:rsid w:val="0062180D"/>
    <w:rsid w:val="00690F1C"/>
    <w:rsid w:val="006F40D3"/>
    <w:rsid w:val="0075241F"/>
    <w:rsid w:val="0076511E"/>
    <w:rsid w:val="00773283"/>
    <w:rsid w:val="007C67CD"/>
    <w:rsid w:val="00830BEA"/>
    <w:rsid w:val="0089643D"/>
    <w:rsid w:val="008C7157"/>
    <w:rsid w:val="008D122C"/>
    <w:rsid w:val="008F430E"/>
    <w:rsid w:val="009058E0"/>
    <w:rsid w:val="0096559B"/>
    <w:rsid w:val="00A34F7B"/>
    <w:rsid w:val="00A475F5"/>
    <w:rsid w:val="00A50E3D"/>
    <w:rsid w:val="00B567BE"/>
    <w:rsid w:val="00BA0739"/>
    <w:rsid w:val="00BB20B6"/>
    <w:rsid w:val="00CB666C"/>
    <w:rsid w:val="00D17C14"/>
    <w:rsid w:val="00DC7B75"/>
    <w:rsid w:val="00E1027F"/>
    <w:rsid w:val="00E93ACC"/>
    <w:rsid w:val="00F01D7D"/>
    <w:rsid w:val="00F15043"/>
    <w:rsid w:val="00F42764"/>
    <w:rsid w:val="00FA0731"/>
    <w:rsid w:val="00FA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2D685"/>
  <w15:chartTrackingRefBased/>
  <w15:docId w15:val="{6505289E-30AE-461A-9E41-AD5DD4D2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66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B666C"/>
  </w:style>
  <w:style w:type="paragraph" w:styleId="a5">
    <w:name w:val="footer"/>
    <w:basedOn w:val="a"/>
    <w:link w:val="a6"/>
    <w:uiPriority w:val="99"/>
    <w:unhideWhenUsed/>
    <w:rsid w:val="00CB666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B666C"/>
  </w:style>
  <w:style w:type="character" w:styleId="a7">
    <w:name w:val="Hyperlink"/>
    <w:basedOn w:val="a0"/>
    <w:uiPriority w:val="99"/>
    <w:unhideWhenUsed/>
    <w:rsid w:val="00CB666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56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56005"/>
    <w:pPr>
      <w:ind w:left="720"/>
      <w:contextualSpacing/>
    </w:pPr>
  </w:style>
  <w:style w:type="paragraph" w:customStyle="1" w:styleId="st14">
    <w:name w:val="st14"/>
    <w:uiPriority w:val="99"/>
    <w:rsid w:val="00156005"/>
    <w:pPr>
      <w:widowControl w:val="0"/>
      <w:autoSpaceDE w:val="0"/>
      <w:autoSpaceDN w:val="0"/>
      <w:adjustRightInd w:val="0"/>
      <w:spacing w:before="120" w:after="120"/>
      <w:jc w:val="left"/>
    </w:pPr>
    <w:rPr>
      <w:rFonts w:eastAsiaTheme="minorEastAsia"/>
      <w:color w:val="auto"/>
      <w:sz w:val="24"/>
      <w:szCs w:val="24"/>
      <w:lang w:val="x-none" w:eastAsia="uk-UA"/>
    </w:rPr>
  </w:style>
  <w:style w:type="character" w:customStyle="1" w:styleId="st42">
    <w:name w:val="st42"/>
    <w:uiPriority w:val="99"/>
    <w:rsid w:val="00156005"/>
    <w:rPr>
      <w:color w:val="000000"/>
    </w:rPr>
  </w:style>
  <w:style w:type="paragraph" w:customStyle="1" w:styleId="st12">
    <w:name w:val="st12"/>
    <w:uiPriority w:val="99"/>
    <w:rsid w:val="004D2AA8"/>
    <w:pPr>
      <w:widowControl w:val="0"/>
      <w:autoSpaceDE w:val="0"/>
      <w:autoSpaceDN w:val="0"/>
      <w:adjustRightInd w:val="0"/>
      <w:spacing w:before="120" w:after="120"/>
      <w:jc w:val="center"/>
    </w:pPr>
    <w:rPr>
      <w:rFonts w:eastAsiaTheme="minorEastAsia"/>
      <w:color w:val="auto"/>
      <w:sz w:val="24"/>
      <w:szCs w:val="24"/>
      <w:lang w:val="x-none" w:eastAsia="uk-UA"/>
    </w:rPr>
  </w:style>
  <w:style w:type="character" w:customStyle="1" w:styleId="st44">
    <w:name w:val="st44"/>
    <w:uiPriority w:val="99"/>
    <w:rsid w:val="004D2AA8"/>
    <w:rPr>
      <w:b/>
      <w:bCs/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9058E0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058E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gas\Documents\&#1053;&#1072;&#1089;&#1090;&#1088;&#1086;&#1102;&#1074;&#1072;&#1085;&#1110;%20&#1096;&#1072;&#1073;&#1083;&#1086;&#1085;&#1080;%20Office\&#1041;&#1083;&#1072;&#1085;&#1082;%20&#1096;&#1082;&#1086;&#1083;&#1080;%20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школи 1</Template>
  <TotalTime>48</TotalTime>
  <Pages>5</Pages>
  <Words>8578</Words>
  <Characters>4890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Mayboroda</dc:creator>
  <cp:keywords/>
  <dc:description/>
  <cp:lastModifiedBy>Olga Mayboroda</cp:lastModifiedBy>
  <cp:revision>2</cp:revision>
  <cp:lastPrinted>2021-09-16T05:42:00Z</cp:lastPrinted>
  <dcterms:created xsi:type="dcterms:W3CDTF">2021-09-15T11:17:00Z</dcterms:created>
  <dcterms:modified xsi:type="dcterms:W3CDTF">2021-09-16T05:46:00Z</dcterms:modified>
</cp:coreProperties>
</file>