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uppressAutoHyphens w:val="true"/>
        <w:bidi w:val="0"/>
        <w:spacing w:before="0" w:after="0"/>
        <w:ind w:left="720" w:hanging="0"/>
        <w:jc w:val="center"/>
        <w:rPr>
          <w:b w:val="false"/>
          <w:b w:val="false"/>
          <w:bCs w:val="false"/>
          <w:sz w:val="20"/>
          <w:szCs w:val="24"/>
          <w:lang w:val="uk-UA" w:eastAsia="zh-CN"/>
        </w:rPr>
      </w:pPr>
      <w:r>
        <w:rPr>
          <w:b w:val="false"/>
          <w:bCs w:val="false"/>
          <w:sz w:val="20"/>
          <w:szCs w:val="24"/>
          <w:lang w:val="uk-UA" w:eastAsia="zh-CN"/>
        </w:rPr>
      </w:r>
    </w:p>
    <w:p>
      <w:pPr>
        <w:pStyle w:val="Normal"/>
        <w:widowControl/>
        <w:suppressAutoHyphens w:val="true"/>
        <w:bidi w:val="0"/>
        <w:spacing w:before="0" w:after="0"/>
        <w:ind w:left="0" w:right="0" w:hanging="0"/>
        <w:jc w:val="center"/>
        <w:rPr>
          <w:lang w:val="uk-UA" w:eastAsia="zh-CN"/>
        </w:rPr>
      </w:pPr>
      <w:bookmarkStart w:id="0" w:name="n88"/>
      <w:bookmarkEnd w:id="0"/>
      <w:r>
        <w:rPr>
          <w:b/>
          <w:bCs/>
          <w:lang w:val="uk-UA" w:eastAsia="zh-CN"/>
        </w:rPr>
        <w:t>АНАЛІЗ РЕГУЛЯТОРНОГО ВПЛИВУ</w:t>
      </w:r>
    </w:p>
    <w:p>
      <w:pPr>
        <w:pStyle w:val="Normal"/>
        <w:widowControl/>
        <w:tabs>
          <w:tab w:val="left" w:pos="250" w:leader="none"/>
        </w:tabs>
        <w:suppressAutoHyphens w:val="true"/>
        <w:bidi w:val="0"/>
        <w:spacing w:before="0" w:after="0"/>
        <w:ind w:left="0" w:right="0" w:hanging="0"/>
        <w:jc w:val="center"/>
        <w:rPr/>
      </w:pPr>
      <w:r>
        <w:rPr>
          <w:b/>
          <w:bCs/>
          <w:lang w:val="uk-UA" w:eastAsia="zh-CN"/>
        </w:rPr>
        <w:t>проекту рішення Покровської міської ради</w:t>
      </w:r>
    </w:p>
    <w:p>
      <w:pPr>
        <w:pStyle w:val="Normal"/>
        <w:widowControl/>
        <w:tabs>
          <w:tab w:val="left" w:pos="250" w:leader="none"/>
        </w:tabs>
        <w:suppressAutoHyphens w:val="true"/>
        <w:bidi w:val="0"/>
        <w:spacing w:before="0" w:after="0"/>
        <w:ind w:left="0" w:right="0" w:hanging="0"/>
        <w:jc w:val="center"/>
        <w:rPr/>
      </w:pPr>
      <w:r>
        <w:rPr>
          <w:b/>
          <w:bCs/>
          <w:lang w:val="uk-UA" w:eastAsia="zh-CN"/>
        </w:rPr>
        <w:t>“</w:t>
      </w:r>
      <w:r>
        <w:rPr>
          <w:b/>
          <w:bCs/>
          <w:lang w:val="uk-UA" w:eastAsia="zh-CN"/>
        </w:rPr>
        <w:t>Про встановлення вартості проїзду пасажирів на міських автобусних маршрутах загального користування в місті Покров”</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Аналіз регуляторного впливу розроблено на виконання та з дотриманням вимог ст. 8, 9 та 13 Закону України від 11.09.2003 №1160-ІV «Про засади державної регуляторної політики у сфері господарської діяльності» та з урахуванням Методики проведення аналізу впливу регуляторного акта, затвердженої Постановою Кабінету Міністрів України від 11.03.2004 № 308 (зі змінами, затвердженими Постановою Кабінету Міністрів України № 1151 від 16.12.2015р.).</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center"/>
        <w:rPr/>
      </w:pPr>
      <w:bookmarkStart w:id="1" w:name="n89"/>
      <w:bookmarkEnd w:id="1"/>
      <w:r>
        <w:rPr>
          <w:b/>
          <w:bCs/>
          <w:lang w:val="uk-UA" w:eastAsia="zh-CN"/>
        </w:rPr>
        <w:t>I. Визначення проблеми</w:t>
      </w:r>
    </w:p>
    <w:p>
      <w:pPr>
        <w:pStyle w:val="Normal"/>
        <w:widowControl/>
        <w:suppressAutoHyphens w:val="true"/>
        <w:bidi w:val="0"/>
        <w:spacing w:before="0" w:after="0"/>
        <w:ind w:left="0" w:right="0" w:firstLine="397"/>
        <w:jc w:val="both"/>
        <w:rPr>
          <w:b w:val="false"/>
          <w:b w:val="false"/>
          <w:bCs w:val="false"/>
          <w:sz w:val="20"/>
          <w:szCs w:val="24"/>
          <w:lang w:val="uk-UA" w:eastAsia="zh-CN"/>
        </w:rPr>
      </w:pPr>
      <w:r>
        <w:rPr>
          <w:b w:val="false"/>
          <w:bCs w:val="false"/>
          <w:sz w:val="20"/>
          <w:szCs w:val="24"/>
          <w:lang w:val="uk-UA" w:eastAsia="zh-CN"/>
        </w:rPr>
      </w:r>
    </w:p>
    <w:p>
      <w:pPr>
        <w:pStyle w:val="Normal"/>
        <w:widowControl/>
        <w:suppressAutoHyphens w:val="true"/>
        <w:bidi w:val="0"/>
        <w:spacing w:before="0" w:after="0"/>
        <w:ind w:left="0" w:right="0" w:hanging="0"/>
        <w:jc w:val="both"/>
        <w:rPr/>
      </w:pPr>
      <w:r>
        <w:rPr>
          <w:lang w:val="uk-UA" w:eastAsia="zh-CN"/>
        </w:rPr>
        <w:tab/>
        <w:t>Ефективне функціювання громадського транспорту є однією з головних умов комфортного проживання населення та соціально-економічного розвитку міста.</w:t>
      </w:r>
    </w:p>
    <w:p>
      <w:pPr>
        <w:pStyle w:val="Normal"/>
        <w:widowControl/>
        <w:suppressAutoHyphens w:val="true"/>
        <w:bidi w:val="0"/>
        <w:spacing w:before="0" w:after="0"/>
        <w:ind w:left="0" w:right="0" w:hanging="0"/>
        <w:jc w:val="both"/>
        <w:rPr/>
      </w:pPr>
      <w:r>
        <w:rPr>
          <w:rFonts w:eastAsia="NSimSun" w:cs="Lucida Sans"/>
          <w:color w:val="auto"/>
          <w:kern w:val="2"/>
          <w:sz w:val="28"/>
          <w:szCs w:val="24"/>
          <w:lang w:val="uk-UA" w:eastAsia="zh-CN" w:bidi="hi-IN"/>
        </w:rPr>
        <w:tab/>
        <w:t xml:space="preserve">Транспортне забезпечення </w:t>
      </w:r>
      <w:r>
        <w:rPr>
          <w:lang w:val="uk-UA" w:eastAsia="zh-CN"/>
        </w:rPr>
        <w:t>Покровської міської територіальної громади виконується автомобільним транспортом на установлених автобусни</w:t>
      </w:r>
      <w:r>
        <w:rPr>
          <w:rFonts w:eastAsia="NSimSun" w:cs="Lucida Sans"/>
          <w:color w:val="auto"/>
          <w:kern w:val="2"/>
          <w:sz w:val="28"/>
          <w:szCs w:val="24"/>
          <w:lang w:val="uk-UA" w:eastAsia="zh-CN" w:bidi="hi-IN"/>
        </w:rPr>
        <w:t>х</w:t>
      </w:r>
      <w:r>
        <w:rPr>
          <w:lang w:val="uk-UA" w:eastAsia="zh-CN"/>
        </w:rPr>
        <w:t xml:space="preserve"> маршрутах загального користування. </w:t>
      </w:r>
      <w:r>
        <w:rPr>
          <w:rFonts w:eastAsia="Times New Roman" w:cs="Times New Roman"/>
          <w:sz w:val="28"/>
          <w:szCs w:val="28"/>
          <w:lang w:val="uk-UA" w:eastAsia="ru-RU"/>
        </w:rPr>
        <w:t xml:space="preserve">Питання надання послуг з перевезення пасажирів громадським транспортом є сферою загальних інтересів підприємців та органів місцевої влади, а саме: для підприємців – це здійснення господарської діяльності з метою отримання прибутку, для громади – вирішення питання комфортного та своєчасного проїзду в межах громади, для держави – це надходження додаткових коштів до місцевого бюджету, утримання та створення нових робочих місць. </w:t>
      </w:r>
      <w:r>
        <w:rPr>
          <w:lang w:val="uk-UA" w:eastAsia="zh-CN"/>
        </w:rPr>
        <w:t>Вартість проїзду пасажирів на міських автобусних маршрутах загального користування складає 6,00 грн. та 7,00 грн., згідно рішення виконавчого комітету Покровської міської ради від 13 грудня 2018 року № 514 із змінами.</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Для забезпечення надання послуг пасажирських перевезень, що є однією з вимог сучасних стандартів життя, у громаді станом на 01.05.2021 року працює 3 автопідприємства на 8 міських автобусних маршрутах загального користування у звичайному режимі руху. Щомісячно на міських автобусних маршрутах загального користування перевозиться понад 115 тис. пасажирів.</w:t>
      </w:r>
    </w:p>
    <w:p>
      <w:pPr>
        <w:pStyle w:val="Style21"/>
        <w:spacing w:lineRule="auto" w:line="240" w:before="0" w:after="0"/>
        <w:ind w:left="20" w:right="20" w:hanging="0"/>
        <w:jc w:val="both"/>
        <w:rPr/>
      </w:pPr>
      <w:r>
        <w:rPr>
          <w:lang w:eastAsia="uk-UA"/>
        </w:rPr>
        <w:tab/>
        <w:t>Вирішується питання із проблемними зупинками шляхом облаштування їх зупинковими павільйонами в місцях розташування та забезпечення підвищення комфорту та рівня безпеки мешканців, що користуються зупинками громадського транспорту.</w:t>
      </w:r>
    </w:p>
    <w:p>
      <w:pPr>
        <w:pStyle w:val="Style21"/>
        <w:spacing w:lineRule="auto" w:line="240" w:before="0" w:after="0"/>
        <w:ind w:left="20" w:right="20" w:hanging="0"/>
        <w:jc w:val="both"/>
        <w:rPr/>
      </w:pPr>
      <w:r>
        <w:rPr>
          <w:rFonts w:eastAsia="Times New Roman" w:cs="Times New Roman"/>
          <w:sz w:val="28"/>
          <w:szCs w:val="28"/>
          <w:lang w:val="uk-UA" w:eastAsia="ru-RU"/>
        </w:rPr>
        <w:tab/>
        <w:t>На автобуси, які обслуговують міські маршрути загального користування встановлені камери відеоспостереження.</w:t>
      </w:r>
    </w:p>
    <w:p>
      <w:pPr>
        <w:pStyle w:val="Normal"/>
        <w:widowControl/>
        <w:suppressAutoHyphens w:val="true"/>
        <w:bidi w:val="0"/>
        <w:spacing w:lineRule="auto" w:line="240" w:before="0" w:after="0"/>
        <w:ind w:left="0" w:right="0" w:hanging="0"/>
        <w:jc w:val="both"/>
        <w:rPr/>
      </w:pPr>
      <w:r>
        <w:rPr>
          <w:lang w:val="uk-UA" w:eastAsia="zh-CN"/>
        </w:rPr>
        <w:tab/>
        <w:t>Відповідно до “Методики проведення аналізу впливу регуляторного акта” затвердженої постановою Кабінету Міністрів України від 11 березня 2004 року №308 (далі по тексту Методики проведення аналізу впливу), Закону України “Про автомобільний транспорт” тарифна політика повинна забезпечувати баланс між платоспроможним попитом на послуги та обсягом витрат на їх надання, а також задовольняти підприємницький інтерес, забезпечувати розвиток автомобільного транспорту та стимулювати впровадження новітніх технологій.</w:t>
      </w:r>
    </w:p>
    <w:p>
      <w:pPr>
        <w:pStyle w:val="Normal"/>
        <w:widowControl/>
        <w:suppressAutoHyphens w:val="true"/>
        <w:bidi w:val="0"/>
        <w:spacing w:before="0" w:after="0"/>
        <w:ind w:left="0" w:right="0" w:hanging="0"/>
        <w:jc w:val="both"/>
        <w:rPr/>
      </w:pPr>
      <w:r>
        <w:rPr>
          <w:lang w:val="uk-UA" w:eastAsia="zh-CN"/>
        </w:rPr>
        <w:tab/>
        <w:t xml:space="preserve">Механізмом формування </w:t>
      </w:r>
      <w:r>
        <w:rPr>
          <w:rFonts w:eastAsia="NSimSun" w:cs="Lucida Sans"/>
          <w:color w:val="auto"/>
          <w:kern w:val="2"/>
          <w:sz w:val="28"/>
          <w:szCs w:val="24"/>
          <w:lang w:val="uk-UA" w:eastAsia="zh-CN" w:bidi="hi-IN"/>
        </w:rPr>
        <w:t>вартості</w:t>
      </w:r>
      <w:r>
        <w:rPr>
          <w:lang w:val="uk-UA" w:eastAsia="zh-CN"/>
        </w:rPr>
        <w:t xml:space="preserve"> </w:t>
      </w:r>
      <w:r>
        <w:rPr>
          <w:rFonts w:eastAsia="NSimSun" w:cs="Lucida Sans"/>
          <w:color w:val="auto"/>
          <w:kern w:val="2"/>
          <w:sz w:val="28"/>
          <w:szCs w:val="24"/>
          <w:lang w:val="uk-UA" w:eastAsia="zh-CN" w:bidi="hi-IN"/>
        </w:rPr>
        <w:t>проїзду пасажирів</w:t>
      </w:r>
      <w:r>
        <w:rPr>
          <w:lang w:val="uk-UA" w:eastAsia="zh-CN"/>
        </w:rPr>
        <w:t xml:space="preserve"> є проведення розрахунку з визначення розміру тарифу за “Методикою розрахунку тарифів на послуги пасажирського автомобільного транспорту” затвердженої Наказом Міністерства транспорту та зв’язку України від 17.11.2009 року № 1175 (далі по тексту Методики розрахунку тарифів). Відповідно до даної методики автомобільні перевізники надали розрахунки вартості проїзду на міських автобусних маршрутах загального користування станом на 23.04.2021:</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tbl>
      <w:tblPr>
        <w:tblW w:w="9675" w:type="dxa"/>
        <w:jc w:val="left"/>
        <w:tblInd w:w="20" w:type="dxa"/>
        <w:tblBorders>
          <w:top w:val="single" w:sz="2" w:space="0" w:color="000000"/>
          <w:left w:val="single" w:sz="2" w:space="0" w:color="000000"/>
          <w:bottom w:val="single" w:sz="2" w:space="0" w:color="000000"/>
          <w:insideH w:val="single" w:sz="2" w:space="0" w:color="000000"/>
        </w:tblBorders>
        <w:tblCellMar>
          <w:top w:w="55" w:type="dxa"/>
          <w:left w:w="45" w:type="dxa"/>
          <w:bottom w:w="55" w:type="dxa"/>
          <w:right w:w="55" w:type="dxa"/>
        </w:tblCellMar>
      </w:tblPr>
      <w:tblGrid>
        <w:gridCol w:w="535"/>
        <w:gridCol w:w="4079"/>
        <w:gridCol w:w="2340"/>
        <w:gridCol w:w="2720"/>
      </w:tblGrid>
      <w:tr>
        <w:trPr>
          <w:trHeight w:val="563" w:hRule="atLeast"/>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w:t>
            </w:r>
            <w:r>
              <w:rPr>
                <w:rFonts w:eastAsia="Times New Roman" w:cs="Times New Roman"/>
                <w:sz w:val="28"/>
                <w:szCs w:val="28"/>
                <w:lang w:val="uk-UA" w:eastAsia="zh-CN"/>
              </w:rPr>
              <w:t xml:space="preserve"> </w:t>
            </w:r>
            <w:r>
              <w:rPr>
                <w:rFonts w:cs="Times New Roman"/>
                <w:sz w:val="28"/>
                <w:szCs w:val="28"/>
                <w:lang w:val="uk-UA" w:eastAsia="zh-CN"/>
              </w:rPr>
              <w:t>з/п</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Назва маршруту</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 xml:space="preserve">Вартість проїзду пасажирів, </w:t>
            </w:r>
          </w:p>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грн</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Перевізник</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cs="Times New Roman"/>
                <w:sz w:val="24"/>
                <w:szCs w:val="24"/>
                <w:lang w:val="uk-UA" w:eastAsia="zh-CN"/>
              </w:rPr>
              <w:t>1</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w:t>
            </w:r>
            <w:r>
              <w:rPr>
                <w:rFonts w:cs="Times New Roman"/>
                <w:sz w:val="24"/>
                <w:szCs w:val="24"/>
                <w:lang w:val="uk-UA" w:eastAsia="zh-CN"/>
              </w:rPr>
              <w:t>36-й мікрорайон – Підгірна”</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sz w:val="24"/>
                <w:szCs w:val="24"/>
                <w:lang w:val="uk-UA" w:eastAsia="zh-CN"/>
              </w:rPr>
              <w:t>9,18</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cs="Times New Roman"/>
                <w:sz w:val="24"/>
                <w:szCs w:val="24"/>
                <w:lang w:val="uk-UA" w:eastAsia="zh-CN"/>
              </w:rPr>
              <w:t>2</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№1А</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"Вул. Чайкіної Лізи – с.Шолохове"</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rFonts w:cs="Times New Roman"/>
                <w:sz w:val="24"/>
                <w:szCs w:val="24"/>
                <w:lang w:val="uk-UA" w:eastAsia="zh-CN"/>
              </w:rPr>
            </w:pPr>
            <w:r>
              <w:rPr>
                <w:rFonts w:cs="Times New Roman"/>
                <w:sz w:val="24"/>
                <w:szCs w:val="24"/>
                <w:lang w:val="uk-UA" w:eastAsia="zh-CN"/>
              </w:rPr>
              <w:t>12,33</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3</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Первізькі Хутори”</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sz w:val="24"/>
                <w:szCs w:val="24"/>
                <w:lang w:val="uk-UA" w:eastAsia="zh-CN"/>
              </w:rPr>
              <w:t>9,41</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4</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№4</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Гірницьке”</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sz w:val="24"/>
                <w:szCs w:val="24"/>
                <w:lang w:val="uk-UA" w:eastAsia="zh-CN"/>
              </w:rPr>
              <w:t>10,12</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5</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№6</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вул.Шевченка</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sz w:val="24"/>
                <w:szCs w:val="24"/>
                <w:lang w:val="uk-UA" w:eastAsia="zh-CN"/>
              </w:rPr>
              <w:t>9,41</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cs="Times New Roman"/>
                <w:sz w:val="24"/>
                <w:szCs w:val="24"/>
                <w:lang w:val="uk-UA" w:eastAsia="zh-CN"/>
              </w:rPr>
              <w:t>6</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Шахта №22</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sz w:val="24"/>
                <w:szCs w:val="24"/>
                <w:lang w:val="uk-UA" w:eastAsia="zh-CN"/>
              </w:rPr>
              <w:t>10,36</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7</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№9А “35-й мікрорайон — Шахта №22 через вул. Г. Середи”</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rFonts w:cs="Times New Roman"/>
                <w:sz w:val="24"/>
                <w:szCs w:val="24"/>
                <w:lang w:val="uk-UA" w:eastAsia="zh-CN"/>
              </w:rPr>
            </w:pPr>
            <w:r>
              <w:rPr>
                <w:rFonts w:cs="Times New Roman"/>
                <w:sz w:val="24"/>
                <w:szCs w:val="24"/>
                <w:lang w:val="uk-UA" w:eastAsia="zh-CN"/>
              </w:rPr>
              <w:t>9,68</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ТОВ ВКП “Мотодор”</w:t>
            </w:r>
          </w:p>
          <w:p>
            <w:pPr>
              <w:pStyle w:val="Normal"/>
              <w:widowControl w:val="false"/>
              <w:suppressAutoHyphens w:val="true"/>
              <w:bidi w:val="0"/>
              <w:spacing w:before="0" w:after="0"/>
              <w:ind w:left="0" w:right="0" w:hanging="0"/>
              <w:jc w:val="left"/>
              <w:rPr/>
            </w:pPr>
            <w:r>
              <w:rPr>
                <w:rFonts w:cs="Times New Roman"/>
                <w:sz w:val="24"/>
                <w:szCs w:val="24"/>
                <w:lang w:val="uk-UA" w:eastAsia="zh-CN"/>
              </w:rPr>
              <w:t>м.Нікополь</w:t>
            </w:r>
          </w:p>
        </w:tc>
      </w:tr>
      <w:tr>
        <w:trPr>
          <w:trHeight w:val="255" w:hRule="atLeast"/>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8</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№13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Чортомлик”</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sz w:val="24"/>
                <w:szCs w:val="24"/>
                <w:lang w:val="uk-UA" w:eastAsia="zh-CN"/>
              </w:rPr>
              <w:t>9,03</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bl>
    <w:p>
      <w:pPr>
        <w:pStyle w:val="Normal"/>
        <w:widowControl/>
        <w:suppressAutoHyphens w:val="true"/>
        <w:bidi w:val="0"/>
        <w:spacing w:before="0" w:after="0"/>
        <w:ind w:left="0" w:right="0" w:hanging="0"/>
        <w:jc w:val="both"/>
        <w:rPr>
          <w:sz w:val="20"/>
          <w:szCs w:val="24"/>
        </w:rPr>
      </w:pPr>
      <w:r>
        <w:rPr>
          <w:rFonts w:eastAsia="NSimSun" w:cs="Lucida Sans"/>
          <w:color w:val="auto"/>
          <w:kern w:val="2"/>
          <w:sz w:val="28"/>
          <w:szCs w:val="24"/>
          <w:lang w:val="uk-UA" w:eastAsia="zh-CN" w:bidi="hi-IN"/>
        </w:rPr>
        <w:tab/>
      </w:r>
    </w:p>
    <w:p>
      <w:pPr>
        <w:pStyle w:val="Normal"/>
        <w:widowControl/>
        <w:suppressAutoHyphens w:val="true"/>
        <w:bidi w:val="0"/>
        <w:spacing w:before="0" w:after="0"/>
        <w:ind w:left="0" w:right="0" w:hanging="0"/>
        <w:jc w:val="both"/>
        <w:rPr/>
      </w:pPr>
      <w:r>
        <w:rPr>
          <w:rFonts w:eastAsia="NSimSun" w:cs="Lucida Sans"/>
          <w:color w:val="auto"/>
          <w:kern w:val="2"/>
          <w:sz w:val="28"/>
          <w:szCs w:val="24"/>
          <w:lang w:val="uk-UA" w:eastAsia="zh-CN" w:bidi="hi-IN"/>
        </w:rPr>
        <w:tab/>
        <w:t xml:space="preserve">На теперішній час вартість проїзду пасажирів є не оптимальною до економічно обґрунтованого рівня так як </w:t>
      </w:r>
      <w:r>
        <w:rPr>
          <w:lang w:val="uk-UA" w:eastAsia="zh-CN"/>
        </w:rPr>
        <w:t>не відповідає собівартості надання послуг з пасажирських перевезень на міських автобусних маршрутах загального в</w:t>
      </w:r>
      <w:r>
        <w:rPr>
          <w:rFonts w:eastAsia="NSimSun" w:cs="Lucida Sans"/>
          <w:color w:val="auto"/>
          <w:kern w:val="2"/>
          <w:sz w:val="28"/>
          <w:szCs w:val="24"/>
          <w:lang w:val="uk-UA" w:eastAsia="zh-CN" w:bidi="hi-IN"/>
        </w:rPr>
        <w:t>и</w:t>
      </w:r>
      <w:r>
        <w:rPr>
          <w:lang w:val="uk-UA" w:eastAsia="zh-CN"/>
        </w:rPr>
        <w:t xml:space="preserve">користання (далі по тексту пасажирських перевезень) </w:t>
      </w:r>
      <w:r>
        <w:rPr>
          <w:rFonts w:eastAsia="NSimSun" w:cs="Lucida Sans"/>
          <w:color w:val="auto"/>
          <w:kern w:val="2"/>
          <w:sz w:val="28"/>
          <w:szCs w:val="24"/>
          <w:lang w:val="uk-UA" w:eastAsia="zh-CN" w:bidi="hi-IN"/>
        </w:rPr>
        <w:t>у</w:t>
      </w:r>
      <w:r>
        <w:rPr>
          <w:lang w:val="uk-UA" w:eastAsia="zh-CN"/>
        </w:rPr>
        <w:t xml:space="preserve"> зв'язку з настанням наступних факторів:</w:t>
      </w:r>
    </w:p>
    <w:p>
      <w:pPr>
        <w:pStyle w:val="Normal"/>
        <w:widowControl/>
        <w:suppressAutoHyphens w:val="true"/>
        <w:bidi w:val="0"/>
        <w:spacing w:before="0" w:after="0"/>
        <w:ind w:left="0" w:right="0" w:firstLine="397"/>
        <w:jc w:val="both"/>
        <w:rPr/>
      </w:pPr>
      <w:r>
        <w:rPr>
          <w:lang w:val="uk-UA" w:eastAsia="zh-CN"/>
        </w:rPr>
        <w:t xml:space="preserve">- зростанням вартості запчастин, </w:t>
      </w:r>
      <w:r>
        <w:rPr>
          <w:rFonts w:eastAsia="NSimSun" w:cs="Lucida Sans"/>
          <w:color w:val="auto"/>
          <w:kern w:val="2"/>
          <w:sz w:val="28"/>
          <w:szCs w:val="24"/>
          <w:lang w:val="uk-UA" w:eastAsia="zh-CN" w:bidi="hi-IN"/>
        </w:rPr>
        <w:t>витратних та</w:t>
      </w:r>
      <w:r>
        <w:rPr>
          <w:lang w:val="uk-UA" w:eastAsia="zh-CN"/>
        </w:rPr>
        <w:t xml:space="preserve"> паливно-мастильних матеріалів;</w:t>
      </w:r>
    </w:p>
    <w:p>
      <w:pPr>
        <w:pStyle w:val="Normal"/>
        <w:widowControl/>
        <w:suppressAutoHyphens w:val="true"/>
        <w:bidi w:val="0"/>
        <w:spacing w:before="0" w:after="0"/>
        <w:ind w:left="0" w:right="0" w:firstLine="397"/>
        <w:jc w:val="both"/>
        <w:rPr/>
      </w:pPr>
      <w:r>
        <w:rPr>
          <w:lang w:val="uk-UA" w:eastAsia="zh-CN"/>
        </w:rPr>
        <w:t xml:space="preserve">- </w:t>
      </w:r>
      <w:r>
        <w:rPr>
          <w:rFonts w:eastAsia="Times New Roman" w:cs="Times New Roman"/>
          <w:sz w:val="28"/>
          <w:szCs w:val="28"/>
          <w:lang w:val="uk-UA" w:eastAsia="ru-RU"/>
        </w:rPr>
        <w:t>зростання цін на оренду приміщень, територій;</w:t>
      </w:r>
    </w:p>
    <w:p>
      <w:pPr>
        <w:pStyle w:val="Normal"/>
        <w:widowControl/>
        <w:numPr>
          <w:ilvl w:val="0"/>
          <w:numId w:val="1"/>
        </w:numPr>
        <w:suppressAutoHyphens w:val="true"/>
        <w:bidi w:val="0"/>
        <w:spacing w:before="0" w:after="0"/>
        <w:ind w:left="0" w:right="0" w:firstLine="397"/>
        <w:jc w:val="both"/>
        <w:rPr/>
      </w:pPr>
      <w:r>
        <w:rPr>
          <w:lang w:val="uk-UA" w:eastAsia="zh-CN"/>
        </w:rPr>
        <w:t>зростанням розміру мінімальної заробітної плати до 6000,00 грн. (з 01.01.2021 р.);</w:t>
      </w:r>
    </w:p>
    <w:p>
      <w:pPr>
        <w:pStyle w:val="Normal"/>
        <w:widowControl/>
        <w:numPr>
          <w:ilvl w:val="0"/>
          <w:numId w:val="1"/>
        </w:numPr>
        <w:suppressAutoHyphens w:val="true"/>
        <w:bidi w:val="0"/>
        <w:spacing w:before="0" w:after="0"/>
        <w:ind w:left="0" w:right="0" w:firstLine="397"/>
        <w:jc w:val="both"/>
        <w:rPr>
          <w:lang w:val="uk-UA" w:eastAsia="zh-CN"/>
        </w:rPr>
      </w:pPr>
      <w:r>
        <w:rPr>
          <w:lang w:val="uk-UA" w:eastAsia="zh-CN"/>
        </w:rPr>
        <w:t>зростанням цін на електроенергію, теплоенергію, отримання послуг від сторонніх організацій;</w:t>
      </w:r>
    </w:p>
    <w:p>
      <w:pPr>
        <w:pStyle w:val="Normal"/>
        <w:widowControl/>
        <w:numPr>
          <w:ilvl w:val="0"/>
          <w:numId w:val="1"/>
        </w:numPr>
        <w:suppressAutoHyphens w:val="true"/>
        <w:bidi w:val="0"/>
        <w:spacing w:before="0" w:after="0"/>
        <w:ind w:left="0" w:right="0" w:firstLine="397"/>
        <w:jc w:val="both"/>
        <w:rPr>
          <w:lang w:val="uk-UA" w:eastAsia="zh-CN"/>
        </w:rPr>
      </w:pPr>
      <w:r>
        <w:rPr>
          <w:rFonts w:eastAsia="NSimSun" w:cs="Lucida Sans"/>
          <w:color w:val="auto"/>
          <w:kern w:val="2"/>
          <w:sz w:val="28"/>
          <w:szCs w:val="24"/>
          <w:lang w:val="uk-UA" w:eastAsia="zh-CN" w:bidi="hi-IN"/>
        </w:rPr>
        <w:t>зн</w:t>
      </w:r>
      <w:r>
        <w:rPr>
          <w:rFonts w:eastAsia="NSimSun" w:cs="Lucida Sans"/>
          <w:b w:val="false"/>
          <w:bCs w:val="false"/>
          <w:color w:val="auto"/>
          <w:kern w:val="2"/>
          <w:sz w:val="28"/>
          <w:szCs w:val="24"/>
          <w:lang w:val="uk-UA" w:eastAsia="zh-CN" w:bidi="hi-IN"/>
        </w:rPr>
        <w:t>иженням</w:t>
      </w:r>
      <w:r>
        <w:rPr>
          <w:b w:val="false"/>
          <w:bCs w:val="false"/>
          <w:lang w:val="uk-UA" w:eastAsia="zh-CN"/>
        </w:rPr>
        <w:t xml:space="preserve"> пасажиропотоку внаслідок введення обмежень Постановою К</w:t>
      </w:r>
      <w:r>
        <w:rPr>
          <w:rFonts w:eastAsia="NSimSun" w:cs="Lucida Sans"/>
          <w:b w:val="false"/>
          <w:bCs w:val="false"/>
          <w:color w:val="auto"/>
          <w:kern w:val="2"/>
          <w:sz w:val="28"/>
          <w:szCs w:val="24"/>
          <w:lang w:val="uk-UA" w:eastAsia="zh-CN" w:bidi="hi-IN"/>
        </w:rPr>
        <w:t xml:space="preserve">МУ </w:t>
      </w:r>
      <w:r>
        <w:rPr>
          <w:rFonts w:eastAsia="NSimSun" w:cs="Lucida Sans"/>
          <w:b w:val="false"/>
          <w:bCs w:val="false"/>
          <w:i w:val="false"/>
          <w:caps w:val="false"/>
          <w:smallCaps w:val="false"/>
          <w:color w:val="auto"/>
          <w:spacing w:val="0"/>
          <w:kern w:val="2"/>
          <w:sz w:val="28"/>
          <w:szCs w:val="28"/>
          <w:lang w:val="uk-UA" w:eastAsia="zh-CN" w:bidi="hi-IN"/>
        </w:rPr>
        <w:t>від 9 грудня 2020 року №1236</w:t>
      </w:r>
      <w:r>
        <w:rPr>
          <w:rFonts w:eastAsia="NSimSun" w:cs="Lucida Sans"/>
          <w:b w:val="false"/>
          <w:bCs w:val="false"/>
          <w:color w:val="auto"/>
          <w:kern w:val="2"/>
          <w:sz w:val="28"/>
          <w:szCs w:val="28"/>
          <w:lang w:val="uk-UA" w:eastAsia="zh-CN" w:bidi="hi-IN"/>
        </w:rPr>
        <w:t xml:space="preserve"> “П</w:t>
      </w:r>
      <w:r>
        <w:rPr>
          <w:rFonts w:eastAsia="NSimSun" w:cs="Lucida Sans"/>
          <w:b w:val="false"/>
          <w:bCs w:val="false"/>
          <w:i w:val="false"/>
          <w:caps w:val="false"/>
          <w:smallCaps w:val="false"/>
          <w:color w:val="auto"/>
          <w:spacing w:val="0"/>
          <w:kern w:val="2"/>
          <w:sz w:val="28"/>
          <w:szCs w:val="28"/>
          <w:lang w:val="uk-UA" w:eastAsia="zh-CN" w:bidi="hi-IN"/>
        </w:rPr>
        <w:t>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Pr>
          <w:b w:val="false"/>
          <w:bCs w:val="false"/>
          <w:sz w:val="28"/>
          <w:szCs w:val="28"/>
          <w:lang w:val="uk-UA" w:eastAsia="zh-CN"/>
        </w:rPr>
        <w:t>.</w:t>
      </w:r>
    </w:p>
    <w:p>
      <w:pPr>
        <w:pStyle w:val="Normal"/>
        <w:widowControl/>
        <w:suppressAutoHyphens w:val="true"/>
        <w:bidi w:val="0"/>
        <w:spacing w:before="0" w:after="0"/>
        <w:ind w:left="0" w:right="0" w:hanging="0"/>
        <w:jc w:val="both"/>
        <w:rPr/>
      </w:pPr>
      <w:r>
        <w:rPr>
          <w:rFonts w:eastAsia="NSimSun" w:cs="Lucida Sans"/>
          <w:color w:val="auto"/>
          <w:kern w:val="2"/>
          <w:sz w:val="28"/>
          <w:szCs w:val="28"/>
          <w:lang w:val="uk-UA" w:eastAsia="zh-CN" w:bidi="hi-IN"/>
        </w:rPr>
        <w:tab/>
        <w:t>Н</w:t>
      </w:r>
      <w:r>
        <w:rPr>
          <w:sz w:val="28"/>
          <w:szCs w:val="28"/>
          <w:lang w:val="uk-UA" w:eastAsia="zh-CN"/>
        </w:rPr>
        <w:t xml:space="preserve">евідповідність собівартості послуг з перевезень до </w:t>
      </w:r>
      <w:r>
        <w:rPr>
          <w:rFonts w:eastAsia="NSimSun" w:cs="Lucida Sans"/>
          <w:color w:val="auto"/>
          <w:kern w:val="2"/>
          <w:sz w:val="28"/>
          <w:szCs w:val="28"/>
          <w:lang w:val="uk-UA" w:eastAsia="zh-CN" w:bidi="hi-IN"/>
        </w:rPr>
        <w:t>вартості проїзду пасажирів</w:t>
      </w:r>
      <w:r>
        <w:rPr>
          <w:sz w:val="28"/>
          <w:szCs w:val="28"/>
          <w:lang w:val="uk-UA" w:eastAsia="zh-CN"/>
        </w:rPr>
        <w:t xml:space="preserve"> — це проблема, яка ставить під загрозу стабільність забезпечення населення послугами з пасажирських перевезень і призводить до:</w:t>
      </w:r>
    </w:p>
    <w:p>
      <w:pPr>
        <w:pStyle w:val="Normal"/>
        <w:widowControl/>
        <w:numPr>
          <w:ilvl w:val="0"/>
          <w:numId w:val="1"/>
        </w:numPr>
        <w:suppressAutoHyphens w:val="true"/>
        <w:bidi w:val="0"/>
        <w:spacing w:before="0" w:after="0"/>
        <w:ind w:left="0" w:right="0" w:firstLine="397"/>
        <w:jc w:val="both"/>
        <w:rPr>
          <w:lang w:val="uk-UA" w:eastAsia="zh-CN"/>
        </w:rPr>
      </w:pPr>
      <w:r>
        <w:rPr>
          <w:sz w:val="28"/>
          <w:szCs w:val="28"/>
          <w:lang w:val="uk-UA" w:eastAsia="zh-CN"/>
        </w:rPr>
        <w:t>незадовільного технічного стану автобусів;</w:t>
      </w:r>
    </w:p>
    <w:p>
      <w:pPr>
        <w:pStyle w:val="Normal"/>
        <w:widowControl/>
        <w:numPr>
          <w:ilvl w:val="0"/>
          <w:numId w:val="1"/>
        </w:numPr>
        <w:suppressAutoHyphens w:val="true"/>
        <w:bidi w:val="0"/>
        <w:spacing w:before="0" w:after="0"/>
        <w:ind w:left="0" w:right="0" w:firstLine="397"/>
        <w:jc w:val="both"/>
        <w:rPr>
          <w:lang w:val="uk-UA" w:eastAsia="zh-CN"/>
        </w:rPr>
      </w:pPr>
      <w:r>
        <w:rPr>
          <w:sz w:val="28"/>
          <w:szCs w:val="28"/>
          <w:lang w:val="uk-UA" w:eastAsia="zh-CN"/>
        </w:rPr>
        <w:t>зниження регулярності виходу на лінії;</w:t>
      </w:r>
    </w:p>
    <w:p>
      <w:pPr>
        <w:pStyle w:val="Normal"/>
        <w:widowControl/>
        <w:numPr>
          <w:ilvl w:val="0"/>
          <w:numId w:val="1"/>
        </w:numPr>
        <w:suppressAutoHyphens w:val="true"/>
        <w:bidi w:val="0"/>
        <w:spacing w:before="0" w:after="0"/>
        <w:ind w:left="0" w:right="0" w:firstLine="397"/>
        <w:jc w:val="both"/>
        <w:rPr>
          <w:lang w:val="uk-UA" w:eastAsia="zh-CN"/>
        </w:rPr>
      </w:pPr>
      <w:r>
        <w:rPr>
          <w:sz w:val="28"/>
          <w:szCs w:val="28"/>
          <w:lang w:val="uk-UA" w:eastAsia="zh-CN"/>
        </w:rPr>
        <w:t>відсутність водіїв та технічних працівників високої кваліфікації.</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 xml:space="preserve">Подальший розвиток транспортного комплексу неможливий без збільшення операційних витрат. Збільшення транспортної роботи, оновлення та збільшення автобусного парку веде до збільшення витрат на перевезення та утримання інфраструктури. За рахунок збільшення місткості рухомого складу та насичення маршрутів машинами, зростає комфортність пасажирських перевезень та зменшується час очікування автобуса для пасажирів, що зменшує загальний час у дорозі в середньому по місту. Для забезпечення виконання цілей потрібно збільшувати фаховий персонал, але на разі в наявності є тенденція по його відтоку, однією з основних причин звільнення є «низька заробітна плата» та низькі соціальні стандарти. На сьогоднішній день є дефіцит кваліфікованого персоналу водіїв, слюсарів. </w:t>
      </w:r>
    </w:p>
    <w:p>
      <w:pPr>
        <w:pStyle w:val="Normal"/>
        <w:widowControl/>
        <w:suppressAutoHyphens w:val="true"/>
        <w:bidi w:val="0"/>
        <w:spacing w:lineRule="auto" w:line="240" w:before="0" w:after="0"/>
        <w:ind w:hanging="0"/>
        <w:jc w:val="both"/>
        <w:rPr/>
      </w:pPr>
      <w:r>
        <w:rPr>
          <w:sz w:val="28"/>
          <w:szCs w:val="28"/>
          <w:lang w:val="uk-UA" w:eastAsia="zh-CN"/>
        </w:rPr>
        <w:tab/>
        <w:t>У випадку не вирішення проблеми негативним наслідком настане подальший фізичний знос основних транспортних засобів автопідприємств, що зможуть призвести до зниження безпеки руху і якості надання послуг з пасажирських перевезень.</w:t>
      </w:r>
    </w:p>
    <w:p>
      <w:pPr>
        <w:pStyle w:val="Normal"/>
        <w:spacing w:lineRule="auto" w:line="240"/>
        <w:ind w:hanging="0"/>
        <w:jc w:val="both"/>
        <w:rPr/>
      </w:pPr>
      <w:r>
        <w:rPr>
          <w:rFonts w:eastAsia="Times New Roman" w:cs="Times New Roman"/>
          <w:sz w:val="28"/>
          <w:szCs w:val="28"/>
          <w:lang w:eastAsia="ru-RU"/>
        </w:rPr>
        <w:tab/>
        <w:t>Невиконання планової кількості ремонтів, через нестачу коштів, приводить до передчасного вибуття рухомого складу з руху, що викликає справедливі  нарікання пасажирів та збільшує соціальну напругу.</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Діючі тарифи лише частково покривають собівартість витрат на забезпечення діяльності підприємств - перевізників з обслуговування міських автобусних маршрутів загального користування в межах Покровської міської територіальної громади.</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Штучне утримання тарифів на міському пасажирському автомобільному транспорті є невиконанням ст.10 Закону України «Про автомобільний транспорт» та призведе до погіршення фінансового стану автопідприємств-перевізників, втрати кваліфікованих працівників унаслідок недоотримання належного рівня оплати праці, і, як результат, ненадання пасажирських послуг громадянам.</w:t>
      </w:r>
    </w:p>
    <w:p>
      <w:pPr>
        <w:pStyle w:val="Style21"/>
        <w:widowControl/>
        <w:suppressAutoHyphens w:val="true"/>
        <w:bidi w:val="0"/>
        <w:spacing w:lineRule="auto" w:line="240" w:before="0" w:after="0"/>
        <w:ind w:left="60" w:right="60" w:hanging="0"/>
        <w:jc w:val="both"/>
        <w:rPr/>
      </w:pPr>
      <w:r>
        <w:rPr>
          <w:rFonts w:eastAsia="Times New Roman" w:cs="Times New Roman"/>
          <w:sz w:val="28"/>
          <w:szCs w:val="28"/>
          <w:lang w:val="uk-UA" w:eastAsia="ru-RU"/>
        </w:rPr>
        <w:tab/>
        <w:t xml:space="preserve">У 2020 році на відшкодування компенсаційних виплат за пільговий проїзд перевізникам з місцевого бюджету відшкодовано </w:t>
      </w:r>
      <w:r>
        <w:rPr>
          <w:rFonts w:eastAsia="Times New Roman" w:cs="Times New Roman"/>
          <w:b w:val="false"/>
          <w:bCs w:val="false"/>
          <w:sz w:val="28"/>
          <w:szCs w:val="28"/>
          <w:lang w:val="uk-UA" w:eastAsia="ru-RU"/>
        </w:rPr>
        <w:t>2 551 436,26</w:t>
      </w:r>
      <w:r>
        <w:rPr>
          <w:rFonts w:eastAsia="Times New Roman" w:cs="Times New Roman"/>
          <w:sz w:val="28"/>
          <w:szCs w:val="28"/>
          <w:lang w:val="uk-UA" w:eastAsia="ru-RU"/>
        </w:rPr>
        <w:t xml:space="preserve"> грн.</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У зв’язку зі збитковістю перевезень перевізники у повній мірі не в змозі забезпечити належну якість технічного стану автобусів, дотримання графіків руху на маршрутах та забезпечувати безпеку руху, що в свою чергу підвищує аварійність та може призвести до дорожньо-транспортних пригод.</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Таким чином, для створення умов по підвищенню якості та кількості транспортної роботи, для підвищення мобільності містян, пропонується встановити рівень вартості проїзду у автотранспорті</w:t>
      </w:r>
      <w:r>
        <w:rPr>
          <w:rFonts w:eastAsia="Times New Roman" w:cs="Times New Roman"/>
          <w:color w:val="000000"/>
          <w:sz w:val="28"/>
          <w:szCs w:val="28"/>
          <w:lang w:val="uk-UA" w:eastAsia="ru-RU"/>
        </w:rPr>
        <w:t xml:space="preserve"> на наступному рівні:</w:t>
      </w:r>
    </w:p>
    <w:p>
      <w:pPr>
        <w:pStyle w:val="Normal"/>
        <w:widowControl/>
        <w:suppressAutoHyphens w:val="true"/>
        <w:bidi w:val="0"/>
        <w:spacing w:lineRule="auto" w:line="240" w:before="0" w:after="0"/>
        <w:ind w:firstLine="708"/>
        <w:jc w:val="both"/>
        <w:rPr>
          <w:rFonts w:ascii="Times New Roman" w:hAnsi="Times New Roman" w:eastAsia="Times New Roman" w:cs="Times New Roman"/>
          <w:color w:val="000000"/>
          <w:sz w:val="20"/>
          <w:szCs w:val="28"/>
          <w:lang w:val="uk-UA" w:eastAsia="ru-RU"/>
        </w:rPr>
      </w:pPr>
      <w:r>
        <w:rPr>
          <w:rFonts w:eastAsia="Times New Roman" w:cs="Times New Roman"/>
          <w:color w:val="000000"/>
          <w:sz w:val="20"/>
          <w:szCs w:val="28"/>
          <w:lang w:val="uk-UA" w:eastAsia="ru-RU"/>
        </w:rPr>
      </w:r>
    </w:p>
    <w:tbl>
      <w:tblPr>
        <w:tblW w:w="9675" w:type="dxa"/>
        <w:jc w:val="left"/>
        <w:tblInd w:w="20" w:type="dxa"/>
        <w:tblBorders>
          <w:top w:val="single" w:sz="2" w:space="0" w:color="000000"/>
          <w:left w:val="single" w:sz="2" w:space="0" w:color="000000"/>
          <w:bottom w:val="single" w:sz="2" w:space="0" w:color="000000"/>
          <w:insideH w:val="single" w:sz="2" w:space="0" w:color="000000"/>
        </w:tblBorders>
        <w:tblCellMar>
          <w:top w:w="55" w:type="dxa"/>
          <w:left w:w="45" w:type="dxa"/>
          <w:bottom w:w="55" w:type="dxa"/>
          <w:right w:w="55" w:type="dxa"/>
        </w:tblCellMar>
      </w:tblPr>
      <w:tblGrid>
        <w:gridCol w:w="535"/>
        <w:gridCol w:w="4079"/>
        <w:gridCol w:w="2340"/>
        <w:gridCol w:w="2720"/>
      </w:tblGrid>
      <w:tr>
        <w:trPr>
          <w:trHeight w:val="563" w:hRule="atLeast"/>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w:t>
            </w:r>
            <w:r>
              <w:rPr>
                <w:rFonts w:eastAsia="Times New Roman" w:cs="Times New Roman"/>
                <w:sz w:val="28"/>
                <w:szCs w:val="28"/>
                <w:lang w:val="uk-UA" w:eastAsia="zh-CN"/>
              </w:rPr>
              <w:t xml:space="preserve"> </w:t>
            </w:r>
            <w:r>
              <w:rPr>
                <w:rFonts w:cs="Times New Roman"/>
                <w:sz w:val="28"/>
                <w:szCs w:val="28"/>
                <w:lang w:val="uk-UA" w:eastAsia="zh-CN"/>
              </w:rPr>
              <w:t>з/п</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Назва маршруту</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Вартість проїзду пасажирів</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30"/>
              <w:widowControl w:val="false"/>
              <w:suppressLineNumbers/>
              <w:suppressAutoHyphens w:val="true"/>
              <w:bidi w:val="0"/>
              <w:spacing w:before="0" w:after="0"/>
              <w:ind w:left="0" w:right="0" w:hanging="0"/>
              <w:jc w:val="center"/>
              <w:rPr/>
            </w:pPr>
            <w:r>
              <w:rPr>
                <w:rFonts w:cs="Times New Roman"/>
                <w:sz w:val="28"/>
                <w:szCs w:val="28"/>
                <w:lang w:val="uk-UA" w:eastAsia="zh-CN"/>
              </w:rPr>
              <w:t>Перевізник</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cs="Times New Roman"/>
                <w:sz w:val="24"/>
                <w:szCs w:val="24"/>
                <w:lang w:val="uk-UA" w:eastAsia="zh-CN"/>
              </w:rPr>
              <w:t>1</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w:t>
            </w:r>
            <w:r>
              <w:rPr>
                <w:rFonts w:cs="Times New Roman"/>
                <w:sz w:val="24"/>
                <w:szCs w:val="24"/>
                <w:lang w:val="uk-UA" w:eastAsia="zh-CN"/>
              </w:rPr>
              <w:t>36-й мікрорайон – Підгірна”</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cs="Times New Roman"/>
                <w:sz w:val="24"/>
                <w:szCs w:val="24"/>
                <w:lang w:val="uk-UA" w:eastAsia="zh-CN"/>
              </w:rPr>
              <w:t>2</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№1А</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"Вул. Чайкіної Лізи – с.Шолохове"</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3</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Первізькі Хутори”</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9</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4</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№4</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Гірницьке”</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9</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5</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№6</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вул.Шевченка</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cs="Times New Roman"/>
                <w:sz w:val="24"/>
                <w:szCs w:val="24"/>
                <w:lang w:val="uk-UA" w:eastAsia="zh-CN"/>
              </w:rPr>
              <w:t>6</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Шахта №22</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7</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№9А “35-й мікрорайон — Шахта №22 через вул. Г. Середи”</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ТОВ ВКП “Мотодор”</w:t>
            </w:r>
          </w:p>
          <w:p>
            <w:pPr>
              <w:pStyle w:val="Normal"/>
              <w:widowControl w:val="false"/>
              <w:suppressAutoHyphens w:val="true"/>
              <w:bidi w:val="0"/>
              <w:spacing w:before="0" w:after="0"/>
              <w:ind w:left="0" w:right="0" w:hanging="0"/>
              <w:jc w:val="left"/>
              <w:rPr/>
            </w:pPr>
            <w:r>
              <w:rPr>
                <w:rFonts w:cs="Times New Roman"/>
                <w:sz w:val="24"/>
                <w:szCs w:val="24"/>
                <w:lang w:val="uk-UA" w:eastAsia="zh-CN"/>
              </w:rPr>
              <w:t>м.Нікополь</w:t>
            </w:r>
          </w:p>
        </w:tc>
      </w:tr>
      <w:tr>
        <w:trPr>
          <w:trHeight w:val="255" w:hRule="atLeast"/>
        </w:trPr>
        <w:tc>
          <w:tcPr>
            <w:tcW w:w="535"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30"/>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8</w:t>
            </w:r>
          </w:p>
        </w:tc>
        <w:tc>
          <w:tcPr>
            <w:tcW w:w="407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№13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Чортомлик”</w:t>
            </w:r>
          </w:p>
        </w:tc>
        <w:tc>
          <w:tcPr>
            <w:tcW w:w="234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color w:val="000000"/>
              </w:rPr>
            </w:pPr>
            <w:r>
              <w:rPr>
                <w:rFonts w:cs="Times New Roman"/>
                <w:color w:val="000000"/>
                <w:sz w:val="24"/>
                <w:szCs w:val="24"/>
                <w:lang w:val="uk-UA" w:eastAsia="zh-CN"/>
              </w:rPr>
              <w:t>8</w:t>
            </w:r>
            <w:r>
              <w:rPr>
                <w:rFonts w:cs="Times New Roman"/>
                <w:color w:val="000000"/>
                <w:sz w:val="24"/>
                <w:szCs w:val="24"/>
                <w:lang w:val="uk-UA" w:eastAsia="zh-CN"/>
              </w:rPr>
              <w:t>,00</w:t>
            </w:r>
          </w:p>
        </w:tc>
        <w:tc>
          <w:tcPr>
            <w:tcW w:w="27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bl>
    <w:p>
      <w:pPr>
        <w:pStyle w:val="Normal"/>
        <w:widowControl/>
        <w:suppressAutoHyphens w:val="true"/>
        <w:bidi w:val="0"/>
        <w:spacing w:lineRule="auto" w:line="240" w:before="0" w:after="0"/>
        <w:ind w:hanging="0"/>
        <w:jc w:val="both"/>
        <w:rPr/>
      </w:pPr>
      <w:r>
        <w:rPr>
          <w:rFonts w:eastAsia="Times New Roman" w:cs="Times New Roman"/>
          <w:color w:val="000000"/>
          <w:sz w:val="28"/>
          <w:szCs w:val="28"/>
          <w:lang w:val="uk-UA" w:eastAsia="ru-RU"/>
        </w:rPr>
        <w:tab/>
      </w:r>
    </w:p>
    <w:p>
      <w:pPr>
        <w:pStyle w:val="Normal"/>
        <w:widowControl/>
        <w:suppressAutoHyphens w:val="true"/>
        <w:bidi w:val="0"/>
        <w:spacing w:lineRule="auto" w:line="240" w:before="0" w:after="0"/>
        <w:ind w:hanging="0"/>
        <w:jc w:val="both"/>
        <w:rPr/>
      </w:pPr>
      <w:r>
        <w:rPr>
          <w:rFonts w:eastAsia="Times New Roman" w:cs="Times New Roman"/>
          <w:color w:val="000000"/>
          <w:sz w:val="28"/>
          <w:szCs w:val="28"/>
          <w:lang w:val="uk-UA" w:eastAsia="ru-RU"/>
        </w:rPr>
        <w:tab/>
        <w:t>Слід зазначити, що з прийняттям даного регуляторного акту не в повній мірі буде досягнуто задекларованих цілей. Тобто, пропонований тариф не відповідає розрахунковим витратам вказаних суб'єктів підприємницької діяльності та не відповідає Методиці розрахунку тарифів на послуги пасажирського автомобільного транспорту затвердженої Наказом Мінтрансзв’язку України від 17.11.2009 № 1175.</w:t>
      </w:r>
    </w:p>
    <w:p>
      <w:pPr>
        <w:pStyle w:val="Normal"/>
        <w:spacing w:lineRule="auto" w:line="240"/>
        <w:ind w:firstLine="708"/>
        <w:jc w:val="center"/>
        <w:rPr/>
      </w:pPr>
      <w:r>
        <w:rPr>
          <w:rFonts w:eastAsia="Times New Roman" w:cs="Times New Roman"/>
          <w:b/>
          <w:iCs/>
          <w:sz w:val="28"/>
          <w:szCs w:val="28"/>
          <w:lang w:eastAsia="ru-RU"/>
        </w:rPr>
        <w:t>Визначення причин проблеми</w:t>
      </w:r>
    </w:p>
    <w:p>
      <w:pPr>
        <w:pStyle w:val="Normal"/>
        <w:spacing w:lineRule="auto" w:line="240"/>
        <w:jc w:val="both"/>
        <w:rPr/>
      </w:pPr>
      <w:r>
        <w:rPr>
          <w:rFonts w:eastAsia="Times New Roman" w:cs="Times New Roman"/>
          <w:sz w:val="28"/>
          <w:szCs w:val="28"/>
          <w:lang w:eastAsia="ru-RU"/>
        </w:rPr>
        <w:tab/>
        <w:t>Механізм формування тарифів на послуги з перевезення пасажирів на автобусних маршрутах загального користування визначається Методикою розрахунку тарифів на послуги пасажирського автомобільного транспорту, затвердженою Наказом Міністерства транспорту та зв’язку України від 17.11.2009 № 1175 (надалі – Методика).</w:t>
      </w:r>
    </w:p>
    <w:p>
      <w:pPr>
        <w:pStyle w:val="Normal"/>
        <w:spacing w:lineRule="auto" w:line="240"/>
        <w:ind w:hanging="0"/>
        <w:jc w:val="both"/>
        <w:rPr/>
      </w:pPr>
      <w:r>
        <w:rPr>
          <w:rFonts w:eastAsia="Times New Roman" w:cs="Times New Roman"/>
          <w:sz w:val="28"/>
          <w:szCs w:val="28"/>
          <w:lang w:eastAsia="ru-RU"/>
        </w:rPr>
        <w:tab/>
        <w:t>Відповідно до п. 1.6 Методики перегляд рівня тарифів повинен здійснюватися у зв’язку зі зміною умов виробничої діяльності та реалізації послуг, що не залежать від господарської діяльності перевізника.</w:t>
      </w:r>
    </w:p>
    <w:p>
      <w:pPr>
        <w:pStyle w:val="Normal"/>
        <w:shd w:val="clear" w:color="auto" w:fill="FFFFFF" w:themeFill="background1"/>
        <w:spacing w:lineRule="auto" w:line="240"/>
        <w:ind w:hanging="0"/>
        <w:jc w:val="both"/>
        <w:rPr/>
      </w:pPr>
      <w:r>
        <w:rPr>
          <w:rFonts w:eastAsia="Times New Roman" w:cs="Times New Roman"/>
          <w:sz w:val="28"/>
          <w:szCs w:val="28"/>
          <w:lang w:eastAsia="ru-RU"/>
        </w:rPr>
        <w:tab/>
        <w:t>У зв’язку з підвищенням з 01.01.2021 року рівня мінімальної заробітної плати до 6000 грн. та проведенням обов’язкової індексації заробітної плати, відповідно до чинного законодавства та галузевих угод, значно зросли прямі витрати на оплату праці та податки, що сплачують перевізники згідно вимог законодавства, які безпосередньо впливають на формування собівартості тарифу на проїзд в міському транспорті.</w:t>
      </w:r>
    </w:p>
    <w:p>
      <w:pPr>
        <w:pStyle w:val="Normal"/>
        <w:shd w:val="clear" w:color="auto" w:fill="FFFFFF" w:themeFill="background1"/>
        <w:spacing w:lineRule="auto" w:line="240"/>
        <w:ind w:hanging="0"/>
        <w:jc w:val="both"/>
        <w:rPr>
          <w:rFonts w:eastAsia="Times New Roman" w:cs="Times New Roman"/>
          <w:sz w:val="28"/>
          <w:szCs w:val="28"/>
          <w:lang w:eastAsia="ru-RU"/>
        </w:rPr>
      </w:pPr>
      <w:r>
        <w:rPr>
          <w:rFonts w:eastAsia="Times New Roman" w:cs="Times New Roman"/>
          <w:sz w:val="28"/>
          <w:szCs w:val="28"/>
          <w:lang w:eastAsia="ru-RU"/>
        </w:rPr>
      </w:r>
    </w:p>
    <w:p>
      <w:pPr>
        <w:pStyle w:val="Normal"/>
        <w:shd w:val="clear" w:color="auto" w:fill="FFFFFF" w:themeFill="background1"/>
        <w:spacing w:lineRule="auto" w:line="240"/>
        <w:ind w:hanging="0"/>
        <w:jc w:val="both"/>
        <w:rPr>
          <w:rFonts w:eastAsia="Times New Roman" w:cs="Times New Roman"/>
          <w:sz w:val="28"/>
          <w:szCs w:val="28"/>
          <w:lang w:eastAsia="ru-RU"/>
        </w:rPr>
      </w:pPr>
      <w:r>
        <w:rPr>
          <w:rFonts w:eastAsia="Times New Roman" w:cs="Times New Roman"/>
          <w:sz w:val="28"/>
          <w:szCs w:val="28"/>
          <w:lang w:eastAsia="ru-RU"/>
        </w:rPr>
      </w:r>
    </w:p>
    <w:p>
      <w:pPr>
        <w:pStyle w:val="Normal"/>
        <w:shd w:val="clear" w:color="auto" w:fill="FFFFFF" w:themeFill="background1"/>
        <w:spacing w:lineRule="auto" w:line="240"/>
        <w:ind w:hanging="0"/>
        <w:jc w:val="both"/>
        <w:rPr>
          <w:rFonts w:eastAsia="Times New Roman" w:cs="Times New Roman"/>
          <w:sz w:val="28"/>
          <w:szCs w:val="28"/>
          <w:lang w:eastAsia="ru-RU"/>
        </w:rPr>
      </w:pPr>
      <w:r>
        <w:rPr>
          <w:rFonts w:eastAsia="Times New Roman" w:cs="Times New Roman"/>
          <w:sz w:val="28"/>
          <w:szCs w:val="28"/>
          <w:lang w:eastAsia="ru-RU"/>
        </w:rPr>
      </w:r>
    </w:p>
    <w:tbl>
      <w:tblPr>
        <w:tblStyle w:val="ad"/>
        <w:tblW w:w="9854" w:type="dxa"/>
        <w:jc w:val="center"/>
        <w:tblInd w:w="0"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right w:w="108" w:type="dxa"/>
        </w:tblCellMar>
        <w:tblLook w:val="04a0"/>
      </w:tblPr>
      <w:tblGrid>
        <w:gridCol w:w="3157"/>
        <w:gridCol w:w="1581"/>
        <w:gridCol w:w="1591"/>
        <w:gridCol w:w="1486"/>
        <w:gridCol w:w="2039"/>
      </w:tblGrid>
      <w:tr>
        <w:trPr/>
        <w:tc>
          <w:tcPr>
            <w:tcW w:w="315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color w:val="000000" w:themeColor="text1"/>
                <w:sz w:val="28"/>
                <w:szCs w:val="28"/>
                <w:lang w:eastAsia="ru-RU"/>
              </w:rPr>
              <w:t>Показники</w:t>
            </w:r>
          </w:p>
        </w:tc>
        <w:tc>
          <w:tcPr>
            <w:tcW w:w="15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2019 рік, грн.</w:t>
            </w:r>
          </w:p>
        </w:tc>
        <w:tc>
          <w:tcPr>
            <w:tcW w:w="1591"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eastAsia="ru-RU"/>
              </w:rPr>
              <w:t>2020 рік, грн.</w:t>
            </w:r>
          </w:p>
        </w:tc>
        <w:tc>
          <w:tcPr>
            <w:tcW w:w="14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color w:val="000000" w:themeColor="text1"/>
                <w:sz w:val="28"/>
                <w:szCs w:val="28"/>
                <w:lang w:eastAsia="ru-RU"/>
              </w:rPr>
              <w:t>2021 рік, грн</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Підвищення, %</w:t>
            </w:r>
          </w:p>
        </w:tc>
      </w:tr>
      <w:tr>
        <w:trPr/>
        <w:tc>
          <w:tcPr>
            <w:tcW w:w="3157"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widowControl w:val="false"/>
              <w:spacing w:lineRule="auto" w:line="240" w:before="0" w:after="0"/>
              <w:rPr/>
            </w:pPr>
            <w:r>
              <w:rPr>
                <w:rFonts w:eastAsia="Times New Roman" w:cs="Times New Roman"/>
                <w:color w:val="000000" w:themeColor="text1"/>
                <w:sz w:val="28"/>
                <w:szCs w:val="28"/>
                <w:lang w:eastAsia="ru-RU"/>
              </w:rPr>
              <w:t>Заробітна плата</w:t>
            </w:r>
          </w:p>
        </w:tc>
        <w:tc>
          <w:tcPr>
            <w:tcW w:w="1581"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val="ru-RU" w:eastAsia="ru-RU"/>
              </w:rPr>
              <w:t>4173.00</w:t>
            </w:r>
          </w:p>
        </w:tc>
        <w:tc>
          <w:tcPr>
            <w:tcW w:w="1591"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eastAsia="ru-RU"/>
              </w:rPr>
              <w:t>4723.00</w:t>
            </w:r>
          </w:p>
        </w:tc>
        <w:tc>
          <w:tcPr>
            <w:tcW w:w="14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color w:val="000000" w:themeColor="text1"/>
                <w:sz w:val="28"/>
                <w:szCs w:val="28"/>
                <w:lang w:eastAsia="ru-RU"/>
              </w:rPr>
              <w:t>6000.00</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eastAsia="ru-RU"/>
              </w:rPr>
              <w:t>27.04</w:t>
            </w:r>
          </w:p>
        </w:tc>
      </w:tr>
      <w:tr>
        <w:trPr/>
        <w:tc>
          <w:tcPr>
            <w:tcW w:w="3157"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widowControl w:val="false"/>
              <w:spacing w:lineRule="auto" w:line="240" w:before="0" w:after="0"/>
              <w:rPr/>
            </w:pPr>
            <w:r>
              <w:rPr>
                <w:rFonts w:eastAsia="Times New Roman" w:cs="Times New Roman"/>
                <w:color w:val="000000" w:themeColor="text1"/>
                <w:sz w:val="28"/>
                <w:szCs w:val="28"/>
                <w:lang w:eastAsia="ru-RU"/>
              </w:rPr>
              <w:t>ПДФО(18%) + військовий збір(1,5%)</w:t>
            </w:r>
          </w:p>
        </w:tc>
        <w:tc>
          <w:tcPr>
            <w:tcW w:w="158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813.74</w:t>
            </w:r>
          </w:p>
        </w:tc>
        <w:tc>
          <w:tcPr>
            <w:tcW w:w="159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920.99</w:t>
            </w:r>
          </w:p>
        </w:tc>
        <w:tc>
          <w:tcPr>
            <w:tcW w:w="148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val="ru-RU" w:eastAsia="ru-RU"/>
              </w:rPr>
              <w:t>1170.00</w:t>
            </w:r>
          </w:p>
        </w:tc>
        <w:tc>
          <w:tcPr>
            <w:tcW w:w="2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val="ru-RU" w:eastAsia="ru-RU"/>
              </w:rPr>
              <w:t>27.04</w:t>
            </w:r>
          </w:p>
        </w:tc>
      </w:tr>
    </w:tbl>
    <w:p>
      <w:pPr>
        <w:pStyle w:val="Normal"/>
        <w:spacing w:lineRule="auto" w:line="240"/>
        <w:jc w:val="both"/>
        <w:rPr>
          <w:rFonts w:eastAsia="Times New Roman" w:cs="Times New Roman"/>
          <w:lang w:eastAsia="ru-RU"/>
        </w:rPr>
      </w:pPr>
      <w:r>
        <w:rPr>
          <w:rFonts w:eastAsia="Times New Roman" w:cs="Times New Roman"/>
          <w:lang w:eastAsia="ru-RU"/>
        </w:rPr>
      </w:r>
    </w:p>
    <w:p>
      <w:pPr>
        <w:pStyle w:val="Normal"/>
        <w:spacing w:lineRule="auto" w:line="240"/>
        <w:ind w:hanging="0"/>
        <w:jc w:val="both"/>
        <w:rPr/>
      </w:pPr>
      <w:r>
        <w:rPr>
          <w:rFonts w:eastAsia="Times New Roman" w:cs="Times New Roman"/>
          <w:sz w:val="28"/>
          <w:szCs w:val="28"/>
          <w:lang w:eastAsia="ru-RU"/>
        </w:rPr>
        <w:tab/>
        <w:t>При діючих тарифах, у зв’язку зі збільшенням мінімальної  заробітної  плати, значним подорожчанням паливно-мастильних матеріалів та запчастин, стрімким ростом трудової міграції водіїв, автоперевізники міста не мають можливості підвищити заробітну плату, підтримувати рухомий склад у належному технічному та санітарному стані, виконувати зобов’язання згідно з чинними договорами на перевезення пасажирів на міських автобусних маршрутах загального користування.</w:t>
      </w:r>
    </w:p>
    <w:p>
      <w:pPr>
        <w:pStyle w:val="Normal"/>
        <w:spacing w:lineRule="auto" w:line="240"/>
        <w:ind w:hanging="0"/>
        <w:jc w:val="both"/>
        <w:rPr/>
      </w:pPr>
      <w:r>
        <w:rPr>
          <w:rFonts w:eastAsia="Times New Roman" w:cs="Times New Roman"/>
          <w:sz w:val="28"/>
          <w:szCs w:val="28"/>
          <w:lang w:eastAsia="ru-RU"/>
        </w:rPr>
        <w:tab/>
        <w:t>Дія регуляторного акта чітко регламентує відносини між громадою міста, суб’єктами господарювання в сфері надання послуг з перевезення пасажирів міськими автобусними маршрутами загального користування та органами місцевого самоврядування.</w:t>
      </w:r>
    </w:p>
    <w:p>
      <w:pPr>
        <w:pStyle w:val="Normal"/>
        <w:widowControl/>
        <w:suppressAutoHyphens w:val="true"/>
        <w:bidi w:val="0"/>
        <w:spacing w:lineRule="auto" w:line="240" w:before="0" w:after="0"/>
        <w:ind w:hanging="0"/>
        <w:jc w:val="both"/>
        <w:rPr/>
      </w:pPr>
      <w:r>
        <w:rPr>
          <w:rFonts w:eastAsia="Times New Roman" w:cs="Times New Roman"/>
          <w:color w:val="000000"/>
          <w:sz w:val="28"/>
          <w:szCs w:val="28"/>
          <w:lang w:val="uk-UA" w:eastAsia="ru-RU"/>
        </w:rPr>
        <w:tab/>
        <w:t>Прийняття регуляторного акта – рішення Покровської міської ради «</w:t>
      </w:r>
      <w:r>
        <w:rPr>
          <w:rFonts w:eastAsia="Times New Roman" w:cs="Times New Roman"/>
          <w:b w:val="false"/>
          <w:bCs w:val="false"/>
          <w:color w:val="000000"/>
          <w:sz w:val="28"/>
          <w:szCs w:val="28"/>
          <w:lang w:val="uk-UA" w:eastAsia="zh-CN"/>
        </w:rPr>
        <w:t>Про встановлення вартості проїзду пасажирів на міських автобусних маршрутах загального користування в місті Покров</w:t>
      </w:r>
      <w:r>
        <w:rPr>
          <w:rFonts w:eastAsia="Times New Roman" w:cs="Times New Roman"/>
          <w:color w:val="000000"/>
          <w:sz w:val="28"/>
          <w:szCs w:val="28"/>
          <w:lang w:val="uk-UA" w:eastAsia="ru-RU"/>
        </w:rPr>
        <w:t>» дасть можливість суб’єктам господарювання – перевізникам здійснювати діяльність з надання транспортних послуг територіальній громаді міста з мінімальними збитками,</w:t>
      </w:r>
      <w:r>
        <w:rPr>
          <w:sz w:val="28"/>
          <w:szCs w:val="28"/>
          <w:lang w:val="uk-UA" w:eastAsia="zh-CN"/>
        </w:rPr>
        <w:t xml:space="preserve"> що в свою чергу надасть можливість:</w:t>
      </w:r>
    </w:p>
    <w:p>
      <w:pPr>
        <w:pStyle w:val="Normal"/>
        <w:widowControl/>
        <w:numPr>
          <w:ilvl w:val="0"/>
          <w:numId w:val="3"/>
        </w:numPr>
        <w:suppressAutoHyphens w:val="true"/>
        <w:bidi w:val="0"/>
        <w:spacing w:before="0" w:after="0"/>
        <w:ind w:left="0" w:right="0" w:firstLine="397"/>
        <w:jc w:val="both"/>
        <w:rPr/>
      </w:pPr>
      <w:r>
        <w:rPr>
          <w:rFonts w:eastAsia="NSimSun" w:cs="Lucida Sans"/>
          <w:color w:val="auto"/>
          <w:kern w:val="2"/>
          <w:sz w:val="28"/>
          <w:szCs w:val="28"/>
          <w:lang w:val="uk-UA" w:eastAsia="zh-CN" w:bidi="hi-IN"/>
        </w:rPr>
        <w:t>органу місцевого самоврядування створення умов для ефективного функціювання громадського транспорту і його розвитку;</w:t>
      </w:r>
    </w:p>
    <w:p>
      <w:pPr>
        <w:pStyle w:val="Normal"/>
        <w:widowControl/>
        <w:numPr>
          <w:ilvl w:val="0"/>
          <w:numId w:val="3"/>
        </w:numPr>
        <w:suppressAutoHyphens w:val="true"/>
        <w:bidi w:val="0"/>
        <w:spacing w:before="0" w:after="0"/>
        <w:ind w:left="0" w:right="0" w:firstLine="397"/>
        <w:jc w:val="both"/>
        <w:rPr/>
      </w:pPr>
      <w:r>
        <w:rPr>
          <w:rFonts w:eastAsia="NSimSun" w:cs="Lucida Sans"/>
          <w:color w:val="auto"/>
          <w:kern w:val="2"/>
          <w:sz w:val="28"/>
          <w:szCs w:val="28"/>
          <w:lang w:val="uk-UA" w:eastAsia="zh-CN" w:bidi="hi-IN"/>
        </w:rPr>
        <w:t>н</w:t>
      </w:r>
      <w:r>
        <w:rPr>
          <w:sz w:val="28"/>
          <w:szCs w:val="28"/>
          <w:lang w:val="uk-UA" w:eastAsia="zh-CN"/>
        </w:rPr>
        <w:t>аселенню отримувати стабільні, якісні та безпечні послуги пасажирських перевезень;</w:t>
      </w:r>
    </w:p>
    <w:p>
      <w:pPr>
        <w:pStyle w:val="Normal"/>
        <w:widowControl/>
        <w:numPr>
          <w:ilvl w:val="0"/>
          <w:numId w:val="3"/>
        </w:numPr>
        <w:suppressAutoHyphens w:val="true"/>
        <w:bidi w:val="0"/>
        <w:spacing w:before="0" w:after="0"/>
        <w:ind w:left="0" w:right="0" w:firstLine="397"/>
        <w:jc w:val="both"/>
        <w:rPr>
          <w:lang w:val="uk-UA" w:eastAsia="zh-CN"/>
        </w:rPr>
      </w:pPr>
      <w:r>
        <w:rPr>
          <w:sz w:val="28"/>
          <w:szCs w:val="28"/>
          <w:lang w:val="uk-UA" w:eastAsia="zh-CN"/>
        </w:rPr>
        <w:t>автопідпри</w:t>
      </w:r>
      <w:r>
        <w:rPr>
          <w:rFonts w:eastAsia="NSimSun" w:cs="Lucida Sans"/>
          <w:color w:val="auto"/>
          <w:kern w:val="2"/>
          <w:sz w:val="28"/>
          <w:szCs w:val="28"/>
          <w:lang w:val="uk-UA" w:eastAsia="zh-CN" w:bidi="hi-IN"/>
        </w:rPr>
        <w:t>є</w:t>
      </w:r>
      <w:r>
        <w:rPr>
          <w:sz w:val="28"/>
          <w:szCs w:val="28"/>
          <w:lang w:val="uk-UA" w:eastAsia="zh-CN"/>
        </w:rPr>
        <w:t>мствам спрямувати кошти на підвищення рівня якості та безпеки надання послуг з пасажирських перевезень: впровадження новітніх технологій, залучати до роботи суч</w:t>
      </w:r>
      <w:r>
        <w:rPr>
          <w:lang w:val="uk-UA" w:eastAsia="zh-CN"/>
        </w:rPr>
        <w:t>асні автомобільні транспортні засоби для належного виконання графіків руху автобусів міськими маршрутами загального користування.</w:t>
      </w:r>
    </w:p>
    <w:p>
      <w:pPr>
        <w:pStyle w:val="Normal"/>
        <w:widowControl/>
        <w:suppressAutoHyphens w:val="true"/>
        <w:bidi w:val="0"/>
        <w:spacing w:before="0" w:after="0"/>
        <w:ind w:left="0" w:right="0" w:hanging="0"/>
        <w:jc w:val="both"/>
        <w:rPr/>
      </w:pPr>
      <w:r>
        <w:rPr>
          <w:lang w:val="uk-UA" w:eastAsia="zh-CN"/>
        </w:rPr>
        <w:tab/>
      </w:r>
    </w:p>
    <w:p>
      <w:pPr>
        <w:pStyle w:val="Normal"/>
        <w:widowControl/>
        <w:suppressAutoHyphens w:val="true"/>
        <w:bidi w:val="0"/>
        <w:spacing w:before="0" w:after="0"/>
        <w:ind w:left="0" w:right="0" w:hanging="0"/>
        <w:jc w:val="both"/>
        <w:rPr/>
      </w:pPr>
      <w:r>
        <w:rPr>
          <w:lang w:val="uk-UA" w:eastAsia="zh-CN"/>
        </w:rPr>
        <w:tab/>
        <w:t>Основні групи (підгрупи), на які проблема справляє вплив:</w:t>
      </w:r>
    </w:p>
    <w:p>
      <w:pPr>
        <w:pStyle w:val="Normal"/>
        <w:widowControl/>
        <w:suppressAutoHyphens w:val="true"/>
        <w:bidi w:val="0"/>
        <w:spacing w:before="0" w:after="0"/>
        <w:ind w:left="0" w:right="0" w:firstLine="397"/>
        <w:jc w:val="both"/>
        <w:rPr>
          <w:b w:val="false"/>
          <w:b w:val="false"/>
          <w:bCs w:val="false"/>
          <w:sz w:val="20"/>
          <w:szCs w:val="24"/>
          <w:lang w:val="uk-UA" w:eastAsia="zh-CN"/>
        </w:rPr>
      </w:pPr>
      <w:r>
        <w:rPr>
          <w:b w:val="false"/>
          <w:bCs w:val="false"/>
          <w:sz w:val="20"/>
          <w:szCs w:val="24"/>
          <w:lang w:val="uk-UA" w:eastAsia="zh-CN"/>
        </w:rPr>
      </w:r>
    </w:p>
    <w:tbl>
      <w:tblPr>
        <w:tblW w:w="5000" w:type="pct"/>
        <w:jc w:val="left"/>
        <w:tblInd w:w="0" w:type="dxa"/>
        <w:tblBorders>
          <w:top w:val="single" w:sz="2" w:space="0" w:color="000000"/>
          <w:left w:val="single" w:sz="2" w:space="0" w:color="000000"/>
          <w:bottom w:val="single" w:sz="2" w:space="0" w:color="000000"/>
          <w:insideH w:val="single" w:sz="2" w:space="0" w:color="000000"/>
        </w:tblBorders>
        <w:tblCellMar>
          <w:top w:w="29" w:type="dxa"/>
          <w:left w:w="19" w:type="dxa"/>
          <w:bottom w:w="29" w:type="dxa"/>
          <w:right w:w="29" w:type="dxa"/>
        </w:tblCellMar>
      </w:tblPr>
      <w:tblGrid>
        <w:gridCol w:w="6146"/>
        <w:gridCol w:w="1882"/>
        <w:gridCol w:w="1837"/>
      </w:tblGrid>
      <w:tr>
        <w:trPr/>
        <w:tc>
          <w:tcPr>
            <w:tcW w:w="61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Групи (підгрупи)</w:t>
            </w:r>
          </w:p>
        </w:tc>
        <w:tc>
          <w:tcPr>
            <w:tcW w:w="1882"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Так</w:t>
            </w:r>
          </w:p>
        </w:tc>
        <w:tc>
          <w:tcPr>
            <w:tcW w:w="18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Ні</w:t>
            </w:r>
          </w:p>
        </w:tc>
      </w:tr>
      <w:tr>
        <w:trPr/>
        <w:tc>
          <w:tcPr>
            <w:tcW w:w="61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uppressAutoHyphens w:val="true"/>
              <w:bidi w:val="0"/>
              <w:spacing w:before="0" w:after="0"/>
              <w:ind w:left="0" w:right="0" w:hanging="0"/>
              <w:jc w:val="both"/>
              <w:rPr>
                <w:sz w:val="24"/>
                <w:szCs w:val="24"/>
                <w:lang w:val="uk-UA" w:eastAsia="zh-CN"/>
              </w:rPr>
            </w:pPr>
            <w:r>
              <w:rPr>
                <w:sz w:val="24"/>
                <w:szCs w:val="24"/>
                <w:lang w:val="uk-UA" w:eastAsia="zh-CN"/>
              </w:rPr>
              <w:t>Громадяни</w:t>
            </w:r>
          </w:p>
        </w:tc>
        <w:tc>
          <w:tcPr>
            <w:tcW w:w="188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w:t>
            </w:r>
          </w:p>
        </w:tc>
        <w:tc>
          <w:tcPr>
            <w:tcW w:w="18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r>
          </w:p>
        </w:tc>
      </w:tr>
      <w:tr>
        <w:trPr/>
        <w:tc>
          <w:tcPr>
            <w:tcW w:w="61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uppressAutoHyphens w:val="true"/>
              <w:bidi w:val="0"/>
              <w:spacing w:before="0" w:after="0"/>
              <w:ind w:left="0" w:right="0" w:hanging="0"/>
              <w:jc w:val="both"/>
              <w:rPr>
                <w:sz w:val="24"/>
                <w:szCs w:val="24"/>
                <w:lang w:val="uk-UA" w:eastAsia="zh-CN"/>
              </w:rPr>
            </w:pPr>
            <w:r>
              <w:rPr>
                <w:sz w:val="24"/>
                <w:szCs w:val="24"/>
                <w:lang w:val="uk-UA" w:eastAsia="zh-CN"/>
              </w:rPr>
              <w:t>Держава</w:t>
            </w:r>
          </w:p>
        </w:tc>
        <w:tc>
          <w:tcPr>
            <w:tcW w:w="188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w:t>
            </w:r>
          </w:p>
        </w:tc>
        <w:tc>
          <w:tcPr>
            <w:tcW w:w="18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r>
          </w:p>
        </w:tc>
      </w:tr>
      <w:tr>
        <w:trPr/>
        <w:tc>
          <w:tcPr>
            <w:tcW w:w="61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uppressAutoHyphens w:val="true"/>
              <w:bidi w:val="0"/>
              <w:spacing w:before="0" w:after="0"/>
              <w:ind w:left="0" w:right="0" w:hanging="0"/>
              <w:jc w:val="both"/>
              <w:rPr>
                <w:sz w:val="24"/>
                <w:szCs w:val="24"/>
                <w:lang w:val="uk-UA" w:eastAsia="zh-CN"/>
              </w:rPr>
            </w:pPr>
            <w:r>
              <w:rPr>
                <w:sz w:val="24"/>
                <w:szCs w:val="24"/>
                <w:lang w:val="uk-UA" w:eastAsia="zh-CN"/>
              </w:rPr>
              <w:t>Суб’єкти господарювання,</w:t>
            </w:r>
          </w:p>
          <w:p>
            <w:pPr>
              <w:pStyle w:val="Normal"/>
              <w:widowControl w:val="false"/>
              <w:suppressAutoHyphens w:val="true"/>
              <w:bidi w:val="0"/>
              <w:spacing w:before="0" w:after="0"/>
              <w:ind w:left="0" w:right="0" w:hanging="0"/>
              <w:jc w:val="both"/>
              <w:rPr/>
            </w:pPr>
            <w:r>
              <w:rPr>
                <w:sz w:val="24"/>
                <w:szCs w:val="24"/>
                <w:lang w:val="uk-UA" w:eastAsia="zh-CN"/>
              </w:rPr>
              <w:t>у тому числі суб’єкти малого підприємництва</w:t>
            </w:r>
          </w:p>
        </w:tc>
        <w:tc>
          <w:tcPr>
            <w:tcW w:w="188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w:t>
            </w:r>
          </w:p>
        </w:tc>
        <w:tc>
          <w:tcPr>
            <w:tcW w:w="18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r>
          </w:p>
        </w:tc>
      </w:tr>
    </w:tbl>
    <w:p>
      <w:pPr>
        <w:pStyle w:val="Normal"/>
        <w:widowControl/>
        <w:suppressAutoHyphens w:val="true"/>
        <w:bidi w:val="0"/>
        <w:spacing w:before="0" w:after="0"/>
        <w:ind w:left="0" w:right="0" w:hanging="0"/>
        <w:jc w:val="both"/>
        <w:rPr/>
      </w:pPr>
      <w:r>
        <w:rPr>
          <w:lang w:val="uk-UA" w:eastAsia="zh-CN"/>
        </w:rPr>
        <w:tab/>
      </w:r>
    </w:p>
    <w:p>
      <w:pPr>
        <w:pStyle w:val="Normal"/>
        <w:widowControl/>
        <w:suppressAutoHyphens w:val="true"/>
        <w:bidi w:val="0"/>
        <w:spacing w:before="0" w:after="0"/>
        <w:ind w:left="0" w:right="0" w:hanging="0"/>
        <w:jc w:val="both"/>
        <w:rPr/>
      </w:pPr>
      <w:r>
        <w:rPr>
          <w:lang w:val="uk-UA" w:eastAsia="zh-CN"/>
        </w:rPr>
        <w:tab/>
        <w:t xml:space="preserve">Проблема невідповідності вартості проїзду пасажирами до собівартості надання послуг з перевезення пасажирів не може бути розв’язана за допомогою ринкових механізмів, оскільки постійно змінюються умови економічної діяльності підприємств. </w:t>
      </w:r>
      <w:r>
        <w:rPr>
          <w:rFonts w:cs="Times New Roman"/>
          <w:sz w:val="28"/>
          <w:szCs w:val="28"/>
          <w:lang w:val="uk-UA" w:eastAsia="zh-CN"/>
        </w:rPr>
        <w:t>Впровадження даного регулювання є доцільним у зв’язку з тим, що інших альтернатив розв’язання проблеми не існує.</w:t>
      </w:r>
    </w:p>
    <w:p>
      <w:pPr>
        <w:pStyle w:val="Normal"/>
        <w:widowControl/>
        <w:suppressAutoHyphens w:val="true"/>
        <w:bidi w:val="0"/>
        <w:spacing w:before="0" w:after="0"/>
        <w:ind w:left="0" w:right="0" w:firstLine="397"/>
        <w:jc w:val="both"/>
        <w:rPr>
          <w:b/>
          <w:b/>
          <w:bCs/>
          <w:sz w:val="20"/>
          <w:szCs w:val="24"/>
          <w:lang w:val="uk-UA" w:eastAsia="zh-CN"/>
        </w:rPr>
      </w:pPr>
      <w:r>
        <w:rPr>
          <w:b/>
          <w:bCs/>
          <w:sz w:val="20"/>
          <w:szCs w:val="24"/>
          <w:lang w:val="uk-UA" w:eastAsia="zh-CN"/>
        </w:rPr>
      </w:r>
    </w:p>
    <w:p>
      <w:pPr>
        <w:pStyle w:val="Normal"/>
        <w:widowControl/>
        <w:suppressAutoHyphens w:val="true"/>
        <w:bidi w:val="0"/>
        <w:spacing w:before="0" w:after="0"/>
        <w:ind w:left="0" w:right="0" w:firstLine="397"/>
        <w:jc w:val="center"/>
        <w:rPr/>
      </w:pPr>
      <w:bookmarkStart w:id="2" w:name="n99"/>
      <w:bookmarkEnd w:id="2"/>
      <w:r>
        <w:rPr>
          <w:b/>
          <w:bCs/>
          <w:lang w:val="uk-UA" w:eastAsia="zh-CN"/>
        </w:rPr>
        <w:t>II. Цілі державного регулювання</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pPr>
      <w:r>
        <w:rPr>
          <w:lang w:val="uk-UA" w:eastAsia="zh-CN"/>
        </w:rPr>
        <w:tab/>
        <w:t xml:space="preserve">Проект регуляторного акта спрямований на приведення </w:t>
      </w:r>
      <w:r>
        <w:rPr>
          <w:rFonts w:eastAsia="NSimSun" w:cs="Lucida Sans"/>
          <w:color w:val="auto"/>
          <w:kern w:val="2"/>
          <w:sz w:val="28"/>
          <w:szCs w:val="24"/>
          <w:lang w:val="uk-UA" w:eastAsia="zh-CN" w:bidi="hi-IN"/>
        </w:rPr>
        <w:t>до</w:t>
      </w:r>
      <w:r>
        <w:rPr>
          <w:lang w:val="uk-UA" w:eastAsia="zh-CN"/>
        </w:rPr>
        <w:t xml:space="preserve"> відповідності вартості проїзду пасажирів автобусними маршрутами загального користування, забезпечуючи:</w:t>
      </w:r>
    </w:p>
    <w:p>
      <w:pPr>
        <w:pStyle w:val="Normal"/>
        <w:widowControl/>
        <w:numPr>
          <w:ilvl w:val="0"/>
          <w:numId w:val="2"/>
        </w:numPr>
        <w:suppressAutoHyphens w:val="true"/>
        <w:bidi w:val="0"/>
        <w:spacing w:before="0" w:after="0"/>
        <w:ind w:left="0" w:right="0" w:firstLine="397"/>
        <w:jc w:val="both"/>
        <w:rPr/>
      </w:pPr>
      <w:r>
        <w:rPr>
          <w:lang w:val="uk-UA" w:eastAsia="zh-CN"/>
        </w:rPr>
        <w:t>стабільне, якісне та безпечне транспортн</w:t>
      </w:r>
      <w:r>
        <w:rPr>
          <w:rFonts w:eastAsia="NSimSun" w:cs="Lucida Sans"/>
          <w:color w:val="auto"/>
          <w:kern w:val="2"/>
          <w:sz w:val="28"/>
          <w:szCs w:val="24"/>
          <w:lang w:val="uk-UA" w:eastAsia="zh-CN" w:bidi="hi-IN"/>
        </w:rPr>
        <w:t>е</w:t>
      </w:r>
      <w:r>
        <w:rPr>
          <w:lang w:val="uk-UA" w:eastAsia="zh-CN"/>
        </w:rPr>
        <w:t xml:space="preserve"> обслуговування населення міськими автобусними маршрутами загального користування;</w:t>
      </w:r>
    </w:p>
    <w:p>
      <w:pPr>
        <w:pStyle w:val="Normal"/>
        <w:widowControl/>
        <w:numPr>
          <w:ilvl w:val="0"/>
          <w:numId w:val="2"/>
        </w:numPr>
        <w:suppressAutoHyphens w:val="true"/>
        <w:bidi w:val="0"/>
        <w:spacing w:before="0" w:after="0"/>
        <w:ind w:left="0" w:right="0" w:firstLine="397"/>
        <w:jc w:val="both"/>
        <w:rPr/>
      </w:pPr>
      <w:r>
        <w:rPr>
          <w:lang w:val="uk-UA" w:eastAsia="zh-CN"/>
        </w:rPr>
        <w:t>баланс інтересів пасажирів, підприємств-перевізників та органу місцевого самоврядування;</w:t>
      </w:r>
    </w:p>
    <w:p>
      <w:pPr>
        <w:pStyle w:val="Normal"/>
        <w:widowControl/>
        <w:numPr>
          <w:ilvl w:val="0"/>
          <w:numId w:val="2"/>
        </w:numPr>
        <w:suppressAutoHyphens w:val="true"/>
        <w:bidi w:val="0"/>
        <w:spacing w:before="0" w:after="0"/>
        <w:ind w:left="0" w:right="0" w:firstLine="397"/>
        <w:jc w:val="both"/>
        <w:rPr/>
      </w:pPr>
      <w:r>
        <w:rPr>
          <w:lang w:val="uk-UA" w:eastAsia="zh-CN"/>
        </w:rPr>
        <w:t>підтримання сталої роботи транспортної галузі;</w:t>
      </w:r>
    </w:p>
    <w:p>
      <w:pPr>
        <w:pStyle w:val="Normal"/>
        <w:widowControl/>
        <w:numPr>
          <w:ilvl w:val="0"/>
          <w:numId w:val="2"/>
        </w:numPr>
        <w:suppressAutoHyphens w:val="true"/>
        <w:bidi w:val="0"/>
        <w:spacing w:before="0" w:after="0"/>
        <w:ind w:left="0" w:right="0" w:firstLine="397"/>
        <w:jc w:val="both"/>
        <w:rPr/>
      </w:pPr>
      <w:r>
        <w:rPr>
          <w:lang w:val="uk-UA" w:eastAsia="zh-CN"/>
        </w:rPr>
        <w:t>зменшення соціальної напруги серед населення, спричиненої нестабільними показниками у роботі громадського транспорту.</w:t>
      </w:r>
    </w:p>
    <w:p>
      <w:pPr>
        <w:pStyle w:val="Normal"/>
        <w:widowControl/>
        <w:suppressAutoHyphens w:val="true"/>
        <w:bidi w:val="0"/>
        <w:spacing w:before="0" w:after="0"/>
        <w:ind w:left="0" w:right="0" w:hanging="0"/>
        <w:jc w:val="both"/>
        <w:rPr/>
      </w:pPr>
      <w:r>
        <w:rPr>
          <w:lang w:val="uk-UA" w:eastAsia="zh-CN"/>
        </w:rPr>
        <w:tab/>
        <w:t>Запровадження даного регуляторного акта — встановлення економічно обґрунтованої вартості проїзду пасажирів на міських автобусних маршрутах загального користування, що має задовольнити підприємницький інтерес, забезпеч</w:t>
      </w:r>
      <w:r>
        <w:rPr>
          <w:rFonts w:eastAsia="NSimSun" w:cs="Lucida Sans"/>
          <w:color w:val="auto"/>
          <w:kern w:val="2"/>
          <w:sz w:val="28"/>
          <w:szCs w:val="24"/>
          <w:lang w:val="uk-UA" w:eastAsia="zh-CN" w:bidi="hi-IN"/>
        </w:rPr>
        <w:t>ити</w:t>
      </w:r>
      <w:r>
        <w:rPr>
          <w:lang w:val="uk-UA" w:eastAsia="zh-CN"/>
        </w:rPr>
        <w:t xml:space="preserve"> збільшення ефективності використання та розвиток автомобільного громадського транспорту.</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center"/>
        <w:rPr/>
      </w:pPr>
      <w:bookmarkStart w:id="3" w:name="n101"/>
      <w:bookmarkEnd w:id="3"/>
      <w:r>
        <w:rPr>
          <w:b/>
          <w:bCs/>
          <w:lang w:val="uk-UA" w:eastAsia="zh-CN"/>
        </w:rPr>
        <w:t>III. Визначення та оцінка альтернативних способів досягнення цілей</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pPr>
      <w:bookmarkStart w:id="4" w:name="n102"/>
      <w:bookmarkEnd w:id="4"/>
      <w:r>
        <w:rPr>
          <w:lang w:val="uk-UA" w:eastAsia="zh-CN"/>
        </w:rPr>
        <w:tab/>
        <w:t>1. Визначення альтернативних способів:</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bookmarkStart w:id="5" w:name="n104"/>
      <w:bookmarkStart w:id="6" w:name="n104"/>
      <w:bookmarkEnd w:id="6"/>
    </w:p>
    <w:tbl>
      <w:tblPr>
        <w:tblW w:w="5000" w:type="pct"/>
        <w:jc w:val="center"/>
        <w:tblInd w:w="0"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4173"/>
        <w:gridCol w:w="5691"/>
      </w:tblGrid>
      <w:tr>
        <w:trPr/>
        <w:tc>
          <w:tcPr>
            <w:tcW w:w="417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i w:val="false"/>
                <w:i w:val="false"/>
                <w:iCs w:val="false"/>
                <w:lang w:val="uk-UA" w:eastAsia="zh-CN"/>
              </w:rPr>
            </w:pPr>
            <w:r>
              <w:rPr>
                <w:i w:val="false"/>
                <w:iCs w:val="false"/>
                <w:lang w:val="uk-UA" w:eastAsia="zh-CN"/>
              </w:rPr>
              <w:t>Вид альтернативи</w:t>
            </w:r>
          </w:p>
        </w:tc>
        <w:tc>
          <w:tcPr>
            <w:tcW w:w="5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i w:val="false"/>
                <w:i w:val="false"/>
                <w:iCs w:val="false"/>
                <w:lang w:val="uk-UA" w:eastAsia="zh-CN"/>
              </w:rPr>
            </w:pPr>
            <w:r>
              <w:rPr>
                <w:i w:val="false"/>
                <w:iCs w:val="false"/>
                <w:lang w:val="uk-UA" w:eastAsia="zh-CN"/>
              </w:rPr>
              <w:t>Опис альтернативи</w:t>
            </w:r>
          </w:p>
        </w:tc>
      </w:tr>
      <w:tr>
        <w:trPr/>
        <w:tc>
          <w:tcPr>
            <w:tcW w:w="417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u w:val="single"/>
                <w:lang w:val="uk-UA" w:eastAsia="zh-CN"/>
              </w:rPr>
            </w:pPr>
            <w:r>
              <w:rPr>
                <w:sz w:val="24"/>
                <w:szCs w:val="24"/>
                <w:u w:val="single"/>
                <w:lang w:val="uk-UA" w:eastAsia="zh-CN"/>
              </w:rPr>
              <w:t>Альтернатива 1:</w:t>
            </w:r>
          </w:p>
          <w:p>
            <w:pPr>
              <w:pStyle w:val="Normal"/>
              <w:widowControl w:val="false"/>
              <w:suppressAutoHyphens w:val="true"/>
              <w:bidi w:val="0"/>
              <w:spacing w:before="0" w:after="0"/>
              <w:ind w:left="0" w:right="0" w:hanging="0"/>
              <w:jc w:val="left"/>
              <w:rPr>
                <w:i/>
                <w:i/>
                <w:iCs/>
                <w:sz w:val="24"/>
                <w:szCs w:val="24"/>
                <w:lang w:val="uk-UA" w:eastAsia="zh-CN"/>
              </w:rPr>
            </w:pPr>
            <w:r>
              <w:rPr>
                <w:i/>
                <w:iCs/>
                <w:sz w:val="24"/>
                <w:szCs w:val="24"/>
                <w:lang w:val="uk-UA" w:eastAsia="zh-CN"/>
              </w:rPr>
              <w:t>Збереження існуючої вартості проїзду пасажирів</w:t>
            </w:r>
          </w:p>
        </w:tc>
        <w:tc>
          <w:tcPr>
            <w:tcW w:w="5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Збереження вартості проїзду пасажирів — 6,00 грн. та 7,00 грн., в залежності від міського автобусного маршруту загального користування</w:t>
            </w:r>
          </w:p>
        </w:tc>
      </w:tr>
      <w:tr>
        <w:trPr/>
        <w:tc>
          <w:tcPr>
            <w:tcW w:w="417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u w:val="single"/>
                <w:lang w:val="uk-UA" w:eastAsia="zh-CN"/>
              </w:rPr>
            </w:pPr>
            <w:r>
              <w:rPr>
                <w:sz w:val="24"/>
                <w:szCs w:val="24"/>
                <w:u w:val="single"/>
                <w:lang w:val="uk-UA" w:eastAsia="zh-CN"/>
              </w:rPr>
              <w:t>Альтернатива 2:</w:t>
            </w:r>
          </w:p>
          <w:p>
            <w:pPr>
              <w:pStyle w:val="Normal"/>
              <w:widowControl w:val="false"/>
              <w:suppressAutoHyphens w:val="true"/>
              <w:bidi w:val="0"/>
              <w:spacing w:before="0" w:after="0"/>
              <w:ind w:left="0" w:right="0" w:hanging="0"/>
              <w:jc w:val="left"/>
              <w:rPr>
                <w:i/>
                <w:i/>
                <w:iCs/>
                <w:sz w:val="24"/>
                <w:szCs w:val="24"/>
                <w:lang w:val="uk-UA" w:eastAsia="zh-CN"/>
              </w:rPr>
            </w:pPr>
            <w:r>
              <w:rPr>
                <w:i/>
                <w:iCs/>
                <w:sz w:val="24"/>
                <w:szCs w:val="24"/>
                <w:lang w:val="uk-UA" w:eastAsia="zh-CN"/>
              </w:rPr>
              <w:t>Надання перевізникам компенсації на покриття витрат, що не відшкодовані  вартістю проїзду пасажирів</w:t>
            </w:r>
          </w:p>
        </w:tc>
        <w:tc>
          <w:tcPr>
            <w:tcW w:w="5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Передбачить в бюджеті міської територіальної громади кошти підприємствам-перевізникам на покриття різниці до економічно обґрунтованого рівня вартості проїзду пасажирів</w:t>
            </w:r>
          </w:p>
        </w:tc>
      </w:tr>
      <w:tr>
        <w:trPr/>
        <w:tc>
          <w:tcPr>
            <w:tcW w:w="417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u w:val="single"/>
                <w:lang w:val="uk-UA" w:eastAsia="zh-CN"/>
              </w:rPr>
            </w:pPr>
            <w:r>
              <w:rPr>
                <w:sz w:val="24"/>
                <w:szCs w:val="24"/>
                <w:u w:val="single"/>
                <w:lang w:val="uk-UA" w:eastAsia="zh-CN"/>
              </w:rPr>
              <w:t>Альтернатива 3:</w:t>
            </w:r>
          </w:p>
          <w:p>
            <w:pPr>
              <w:pStyle w:val="Normal"/>
              <w:widowControl w:val="false"/>
              <w:suppressAutoHyphens w:val="true"/>
              <w:bidi w:val="0"/>
              <w:spacing w:before="0" w:after="0"/>
              <w:ind w:left="0" w:right="0" w:hanging="0"/>
              <w:jc w:val="left"/>
              <w:rPr/>
            </w:pPr>
            <w:r>
              <w:rPr>
                <w:rFonts w:eastAsia="NSimSun" w:cs="Lucida Sans"/>
                <w:b w:val="false"/>
                <w:bCs w:val="false"/>
                <w:i/>
                <w:iCs/>
                <w:color w:val="auto"/>
                <w:kern w:val="2"/>
                <w:sz w:val="24"/>
                <w:szCs w:val="24"/>
                <w:lang w:val="uk-UA" w:eastAsia="zh-CN" w:bidi="hi-IN"/>
              </w:rPr>
              <w:t>Впровадження Покровською міською радою регуляторного акту</w:t>
            </w:r>
            <w:r>
              <w:rPr>
                <w:b w:val="false"/>
                <w:bCs w:val="false"/>
                <w:i/>
                <w:iCs/>
                <w:sz w:val="24"/>
                <w:szCs w:val="24"/>
                <w:lang w:val="uk-UA" w:eastAsia="zh-CN"/>
              </w:rPr>
              <w:t xml:space="preserve">, щодо встановлення вартості проїзду пасажирів </w:t>
            </w:r>
            <w:r>
              <w:rPr>
                <w:rFonts w:eastAsia="NSimSun" w:cs="Lucida Sans"/>
                <w:b w:val="false"/>
                <w:bCs w:val="false"/>
                <w:i/>
                <w:iCs/>
                <w:color w:val="auto"/>
                <w:kern w:val="2"/>
                <w:sz w:val="24"/>
                <w:szCs w:val="24"/>
                <w:lang w:val="uk-UA" w:eastAsia="zh-CN" w:bidi="hi-IN"/>
              </w:rPr>
              <w:t xml:space="preserve">відповідно до Закону України </w:t>
            </w:r>
            <w:r>
              <w:rPr>
                <w:rFonts w:eastAsia="NSimSun" w:cs="Lucida Sans"/>
                <w:b w:val="false"/>
                <w:bCs w:val="false"/>
                <w:i/>
                <w:iCs/>
                <w:color w:val="000000"/>
                <w:kern w:val="2"/>
                <w:sz w:val="24"/>
                <w:szCs w:val="24"/>
                <w:shd w:fill="auto" w:val="clear"/>
                <w:lang w:val="uk-UA" w:eastAsia="zh-CN" w:bidi="hi-IN"/>
              </w:rPr>
              <w:t>“Про засади державної регуляторної політики у сфері господарської діяльності”</w:t>
            </w:r>
          </w:p>
        </w:tc>
        <w:tc>
          <w:tcPr>
            <w:tcW w:w="5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Рішенням Покровської міської ради </w:t>
            </w:r>
            <w:r>
              <w:rPr>
                <w:b w:val="false"/>
                <w:bCs w:val="false"/>
                <w:sz w:val="24"/>
                <w:szCs w:val="24"/>
                <w:lang w:val="uk-UA" w:eastAsia="zh-CN"/>
              </w:rPr>
              <w:t xml:space="preserve">“Про встановлення вартості проїзду пасажирів на міських автобусних маршрутах загального користування в місті Покров” </w:t>
            </w:r>
            <w:r>
              <w:rPr>
                <w:sz w:val="24"/>
                <w:szCs w:val="24"/>
                <w:lang w:val="uk-UA" w:eastAsia="zh-CN"/>
              </w:rPr>
              <w:t xml:space="preserve">встановити вартість проїзду пасажирів, що відповідає економічно обґрунтованому рівню вартості проїзду та у відповідності вимогам і процедур встановлених </w:t>
            </w:r>
            <w:r>
              <w:rPr>
                <w:rFonts w:eastAsia="NSimSun" w:cs="Lucida Sans"/>
                <w:b w:val="false"/>
                <w:bCs w:val="false"/>
                <w:color w:val="auto"/>
                <w:kern w:val="2"/>
                <w:sz w:val="24"/>
                <w:szCs w:val="24"/>
                <w:lang w:val="uk-UA" w:eastAsia="zh-CN" w:bidi="hi-IN"/>
              </w:rPr>
              <w:t xml:space="preserve">Законом України </w:t>
            </w:r>
            <w:r>
              <w:rPr>
                <w:rFonts w:eastAsia="NSimSun" w:cs="Lucida Sans"/>
                <w:b w:val="false"/>
                <w:bCs w:val="false"/>
                <w:color w:val="000000"/>
                <w:kern w:val="2"/>
                <w:sz w:val="24"/>
                <w:szCs w:val="24"/>
                <w:shd w:fill="auto" w:val="clear"/>
                <w:lang w:val="uk-UA" w:eastAsia="zh-CN" w:bidi="hi-IN"/>
              </w:rPr>
              <w:t>“Про засади державної регуляторної політики у сфері господарської діяльності”</w:t>
            </w:r>
          </w:p>
        </w:tc>
      </w:tr>
    </w:tbl>
    <w:p>
      <w:pPr>
        <w:pStyle w:val="Normal"/>
        <w:widowControl/>
        <w:suppressAutoHyphens w:val="true"/>
        <w:bidi w:val="0"/>
        <w:spacing w:before="0" w:after="0"/>
        <w:ind w:left="0" w:right="0" w:hanging="0"/>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pPr>
      <w:bookmarkStart w:id="7" w:name="n116"/>
      <w:bookmarkEnd w:id="7"/>
      <w:r>
        <w:rPr>
          <w:lang w:val="uk-UA" w:eastAsia="zh-CN"/>
        </w:rPr>
        <w:tab/>
      </w:r>
    </w:p>
    <w:p>
      <w:pPr>
        <w:pStyle w:val="Normal"/>
        <w:widowControl/>
        <w:suppressAutoHyphens w:val="true"/>
        <w:bidi w:val="0"/>
        <w:spacing w:before="0" w:after="0"/>
        <w:ind w:left="0" w:right="0" w:hanging="0"/>
        <w:jc w:val="both"/>
        <w:rPr>
          <w:lang w:val="uk-UA" w:eastAsia="zh-CN"/>
        </w:rPr>
      </w:pPr>
      <w:r>
        <w:rPr>
          <w:lang w:val="uk-UA" w:eastAsia="zh-CN"/>
        </w:rPr>
      </w:r>
    </w:p>
    <w:p>
      <w:pPr>
        <w:pStyle w:val="Normal"/>
        <w:widowControl/>
        <w:suppressAutoHyphens w:val="true"/>
        <w:bidi w:val="0"/>
        <w:spacing w:before="0" w:after="0"/>
        <w:ind w:left="0" w:right="0" w:hanging="0"/>
        <w:jc w:val="both"/>
        <w:rPr>
          <w:lang w:val="uk-UA" w:eastAsia="zh-CN"/>
        </w:rPr>
      </w:pPr>
      <w:r>
        <w:rPr>
          <w:lang w:val="uk-UA" w:eastAsia="zh-CN"/>
        </w:rPr>
      </w:r>
    </w:p>
    <w:p>
      <w:pPr>
        <w:pStyle w:val="Normal"/>
        <w:widowControl/>
        <w:suppressAutoHyphens w:val="true"/>
        <w:bidi w:val="0"/>
        <w:spacing w:before="0" w:after="0"/>
        <w:ind w:left="0" w:right="0" w:hanging="0"/>
        <w:jc w:val="both"/>
        <w:rPr>
          <w:lang w:val="uk-UA" w:eastAsia="zh-CN"/>
        </w:rPr>
      </w:pPr>
      <w:r>
        <w:rPr>
          <w:lang w:val="uk-UA" w:eastAsia="zh-CN"/>
        </w:rPr>
      </w:r>
    </w:p>
    <w:p>
      <w:pPr>
        <w:pStyle w:val="Normal"/>
        <w:widowControl/>
        <w:suppressAutoHyphens w:val="true"/>
        <w:bidi w:val="0"/>
        <w:spacing w:before="0" w:after="0"/>
        <w:ind w:left="0" w:right="0" w:hanging="0"/>
        <w:jc w:val="both"/>
        <w:rPr>
          <w:lang w:val="uk-UA" w:eastAsia="zh-CN"/>
        </w:rPr>
      </w:pPr>
      <w:r>
        <w:rPr>
          <w:lang w:val="uk-UA" w:eastAsia="zh-CN"/>
        </w:rPr>
      </w:r>
    </w:p>
    <w:p>
      <w:pPr>
        <w:pStyle w:val="Normal"/>
        <w:widowControl/>
        <w:suppressAutoHyphens w:val="true"/>
        <w:bidi w:val="0"/>
        <w:spacing w:before="0" w:after="0"/>
        <w:ind w:left="0" w:right="0" w:hanging="0"/>
        <w:jc w:val="both"/>
        <w:rPr>
          <w:lang w:val="uk-UA" w:eastAsia="zh-CN"/>
        </w:rPr>
      </w:pPr>
      <w:r>
        <w:rPr>
          <w:lang w:val="uk-UA" w:eastAsia="zh-CN"/>
        </w:rPr>
      </w:r>
    </w:p>
    <w:p>
      <w:pPr>
        <w:pStyle w:val="Normal"/>
        <w:widowControl/>
        <w:suppressAutoHyphens w:val="true"/>
        <w:bidi w:val="0"/>
        <w:spacing w:before="0" w:after="0"/>
        <w:ind w:left="0" w:right="0" w:hanging="0"/>
        <w:jc w:val="both"/>
        <w:rPr/>
      </w:pPr>
      <w:r>
        <w:rPr>
          <w:lang w:val="uk-UA" w:eastAsia="zh-CN"/>
        </w:rPr>
        <w:tab/>
        <w:t>2. Оцінка вибраних альтернативних способів досягнення цілей.</w:t>
      </w:r>
    </w:p>
    <w:p>
      <w:pPr>
        <w:pStyle w:val="Normal"/>
        <w:widowControl/>
        <w:suppressAutoHyphens w:val="true"/>
        <w:bidi w:val="0"/>
        <w:spacing w:before="0" w:after="0"/>
        <w:ind w:left="0" w:right="0" w:hanging="0"/>
        <w:jc w:val="both"/>
        <w:rPr>
          <w:lang w:val="uk-UA" w:eastAsia="zh-CN"/>
        </w:rPr>
      </w:pPr>
      <w:bookmarkStart w:id="8" w:name="n118"/>
      <w:bookmarkEnd w:id="8"/>
      <w:r>
        <w:rPr>
          <w:lang w:val="uk-UA" w:eastAsia="zh-CN"/>
        </w:rPr>
        <w:tab/>
      </w:r>
    </w:p>
    <w:p>
      <w:pPr>
        <w:pStyle w:val="Normal"/>
        <w:widowControl/>
        <w:suppressAutoHyphens w:val="true"/>
        <w:bidi w:val="0"/>
        <w:spacing w:before="0" w:after="0"/>
        <w:ind w:left="0" w:right="0" w:hanging="0"/>
        <w:jc w:val="both"/>
        <w:rPr>
          <w:lang w:val="uk-UA" w:eastAsia="zh-CN"/>
        </w:rPr>
      </w:pPr>
      <w:r>
        <w:rPr>
          <w:lang w:val="uk-UA" w:eastAsia="zh-CN"/>
        </w:rPr>
        <w:tab/>
        <w:t>Оцінка впливу на сферу інтересів держави:</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bookmarkStart w:id="9" w:name="n119"/>
      <w:bookmarkStart w:id="10" w:name="n119"/>
      <w:bookmarkEnd w:id="10"/>
    </w:p>
    <w:tbl>
      <w:tblPr>
        <w:tblW w:w="9808" w:type="dxa"/>
        <w:jc w:val="left"/>
        <w:tblInd w:w="-5"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2322"/>
        <w:gridCol w:w="3744"/>
        <w:gridCol w:w="3742"/>
      </w:tblGrid>
      <w:tr>
        <w:trPr/>
        <w:tc>
          <w:tcPr>
            <w:tcW w:w="23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Вид альтернативи</w:t>
            </w:r>
          </w:p>
        </w:tc>
        <w:tc>
          <w:tcPr>
            <w:tcW w:w="37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Вигоди</w:t>
            </w:r>
          </w:p>
        </w:tc>
        <w:tc>
          <w:tcPr>
            <w:tcW w:w="3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tc>
      </w:tr>
      <w:tr>
        <w:trPr>
          <w:trHeight w:val="576" w:hRule="atLeast"/>
        </w:trPr>
        <w:tc>
          <w:tcPr>
            <w:tcW w:w="2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1</w:t>
            </w:r>
          </w:p>
        </w:tc>
        <w:tc>
          <w:tcPr>
            <w:tcW w:w="37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eastAsia="NSimSun" w:cs="Lucida Sans"/>
                <w:color w:val="auto"/>
                <w:kern w:val="2"/>
                <w:sz w:val="24"/>
                <w:szCs w:val="24"/>
                <w:lang w:val="uk-UA" w:eastAsia="zh-CN" w:bidi="hi-IN"/>
              </w:rPr>
            </w:pPr>
            <w:r>
              <w:rPr>
                <w:rFonts w:eastAsia="NSimSun" w:cs="Lucida Sans"/>
                <w:color w:val="auto"/>
                <w:kern w:val="2"/>
                <w:sz w:val="24"/>
                <w:szCs w:val="24"/>
                <w:lang w:val="uk-UA" w:eastAsia="zh-CN" w:bidi="hi-IN"/>
              </w:rPr>
              <w:t>Відсутні з причин настання негативних наслідків не вирішеної проблеми невідповідності вартості проїзду пасажирів</w:t>
            </w:r>
          </w:p>
        </w:tc>
        <w:tc>
          <w:tcPr>
            <w:tcW w:w="3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1"/>
              <w:widowControl w:val="false"/>
              <w:suppressAutoHyphens w:val="true"/>
              <w:bidi w:val="0"/>
              <w:spacing w:before="0" w:after="0"/>
              <w:ind w:left="0" w:right="0" w:hanging="0"/>
              <w:jc w:val="left"/>
              <w:rPr/>
            </w:pPr>
            <w:r>
              <w:rPr>
                <w:sz w:val="24"/>
                <w:szCs w:val="24"/>
              </w:rPr>
              <w:t xml:space="preserve">Погіршення фінансового становища </w:t>
            </w:r>
            <w:r>
              <w:rPr>
                <w:rFonts w:eastAsia="NSimSun" w:cs="Lucida Sans"/>
                <w:color w:val="auto"/>
                <w:kern w:val="2"/>
                <w:sz w:val="24"/>
                <w:szCs w:val="24"/>
                <w:lang w:val="uk-UA" w:eastAsia="zh-CN" w:bidi="hi-IN"/>
              </w:rPr>
              <w:t xml:space="preserve">автопідприємств; </w:t>
            </w:r>
            <w:r>
              <w:rPr>
                <w:sz w:val="24"/>
                <w:szCs w:val="24"/>
              </w:rPr>
              <w:t>зростання загального рівня напруги серед перевізників / пасажирів; можлив</w:t>
            </w:r>
            <w:r>
              <w:rPr>
                <w:rFonts w:eastAsia="NSimSun" w:cs="Lucida Sans"/>
                <w:color w:val="auto"/>
                <w:kern w:val="2"/>
                <w:sz w:val="24"/>
                <w:szCs w:val="24"/>
                <w:lang w:val="uk-UA" w:eastAsia="zh-CN" w:bidi="hi-IN"/>
              </w:rPr>
              <w:t>е</w:t>
            </w:r>
            <w:r>
              <w:rPr>
                <w:sz w:val="24"/>
                <w:szCs w:val="24"/>
              </w:rPr>
              <w:t xml:space="preserve"> припинення функціювання </w:t>
            </w:r>
            <w:r>
              <w:rPr>
                <w:rFonts w:eastAsia="NSimSun" w:cs="Lucida Sans"/>
                <w:color w:val="auto"/>
                <w:kern w:val="2"/>
                <w:sz w:val="24"/>
                <w:szCs w:val="24"/>
                <w:lang w:val="uk-UA" w:eastAsia="zh-CN" w:bidi="hi-IN"/>
              </w:rPr>
              <w:t xml:space="preserve">громадського автотранспорту, </w:t>
            </w:r>
            <w:r>
              <w:rPr>
                <w:rFonts w:eastAsia="Times New Roman" w:cs="Times New Roman"/>
                <w:color w:val="000000" w:themeColor="text1"/>
                <w:kern w:val="2"/>
                <w:sz w:val="24"/>
                <w:szCs w:val="24"/>
                <w:lang w:val="uk-UA" w:eastAsia="ru-RU" w:bidi="hi-IN"/>
              </w:rPr>
              <w:t>втрати кваліфікованих працівників  підприємств через недотримання належного рівня оплати праці; крім того, не виконується норма відповідно до Методики перегляду рівня тарифів у зв’язку зі зміною умов виробничої діяльності та реалізації послуг, що не залежать від господарської діяльності перевізника;</w:t>
            </w:r>
          </w:p>
          <w:p>
            <w:pPr>
              <w:pStyle w:val="Style21"/>
              <w:widowControl w:val="false"/>
              <w:suppressAutoHyphens w:val="true"/>
              <w:bidi w:val="0"/>
              <w:spacing w:before="0" w:after="0"/>
              <w:ind w:left="0" w:right="0" w:hanging="0"/>
              <w:jc w:val="left"/>
              <w:rPr>
                <w:sz w:val="24"/>
                <w:szCs w:val="24"/>
              </w:rPr>
            </w:pPr>
            <w:r>
              <w:rPr>
                <w:rFonts w:eastAsia="Times New Roman" w:cs="Times New Roman"/>
                <w:color w:val="000000" w:themeColor="text1"/>
                <w:kern w:val="2"/>
                <w:sz w:val="24"/>
                <w:szCs w:val="24"/>
                <w:lang w:val="uk-UA" w:eastAsia="ru-RU" w:bidi="hi-IN"/>
              </w:rPr>
              <w:t>відсутність оновлення рухомого складу перевізниками.</w:t>
            </w:r>
          </w:p>
        </w:tc>
      </w:tr>
      <w:tr>
        <w:trPr>
          <w:trHeight w:val="868" w:hRule="atLeast"/>
        </w:trPr>
        <w:tc>
          <w:tcPr>
            <w:tcW w:w="2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2</w:t>
            </w:r>
          </w:p>
        </w:tc>
        <w:tc>
          <w:tcPr>
            <w:tcW w:w="37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змінні витрати пасажирів на проїзд. Ефективне функціювання громадського транспорту</w:t>
            </w:r>
          </w:p>
        </w:tc>
        <w:tc>
          <w:tcPr>
            <w:tcW w:w="3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Призведе до перерозподілу бюджету за рахунок інших галузей — освіти, житлово-комунального господарства, соціальної сфери, тощо.</w:t>
            </w:r>
          </w:p>
        </w:tc>
      </w:tr>
      <w:tr>
        <w:trPr/>
        <w:tc>
          <w:tcPr>
            <w:tcW w:w="23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3</w:t>
            </w:r>
          </w:p>
        </w:tc>
        <w:tc>
          <w:tcPr>
            <w:tcW w:w="37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Покриття розрахункових витрат;</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Ефективне функціювання громадського транспорту</w:t>
            </w:r>
          </w:p>
        </w:tc>
        <w:tc>
          <w:tcPr>
            <w:tcW w:w="3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однозначне ставлення громадян на підвищення вартості проїзду.</w:t>
            </w:r>
          </w:p>
        </w:tc>
      </w:tr>
    </w:tbl>
    <w:p>
      <w:pPr>
        <w:pStyle w:val="Normal"/>
        <w:widowControl/>
        <w:suppressAutoHyphens w:val="true"/>
        <w:bidi w:val="0"/>
        <w:spacing w:before="0" w:after="0"/>
        <w:ind w:left="0" w:right="0" w:hanging="0"/>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lang w:val="uk-UA" w:eastAsia="zh-CN"/>
        </w:rPr>
      </w:pPr>
      <w:bookmarkStart w:id="11" w:name="n130"/>
      <w:bookmarkEnd w:id="11"/>
      <w:r>
        <w:rPr>
          <w:lang w:val="uk-UA" w:eastAsia="zh-CN"/>
        </w:rPr>
        <w:tab/>
        <w:t>Оцінка впливу на сферу інтересів громадян</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tbl>
      <w:tblPr>
        <w:tblW w:w="5000" w:type="pct"/>
        <w:jc w:val="left"/>
        <w:tblInd w:w="-5"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2397"/>
        <w:gridCol w:w="3718"/>
        <w:gridCol w:w="3750"/>
      </w:tblGrid>
      <w:tr>
        <w:trPr/>
        <w:tc>
          <w:tcPr>
            <w:tcW w:w="239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Вид альтернативи</w:t>
            </w:r>
          </w:p>
        </w:tc>
        <w:tc>
          <w:tcPr>
            <w:tcW w:w="371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Вигоди</w:t>
            </w:r>
          </w:p>
        </w:tc>
        <w:tc>
          <w:tcPr>
            <w:tcW w:w="3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tc>
      </w:tr>
      <w:tr>
        <w:trPr/>
        <w:tc>
          <w:tcPr>
            <w:tcW w:w="2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1</w:t>
            </w:r>
          </w:p>
        </w:tc>
        <w:tc>
          <w:tcPr>
            <w:tcW w:w="37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rFonts w:eastAsia="NSimSun" w:cs="Lucida Sans"/>
                <w:color w:val="auto"/>
                <w:kern w:val="2"/>
                <w:sz w:val="24"/>
                <w:szCs w:val="24"/>
                <w:lang w:val="uk-UA" w:eastAsia="zh-CN" w:bidi="hi-IN"/>
              </w:rPr>
              <w:t>В</w:t>
            </w:r>
            <w:r>
              <w:rPr>
                <w:sz w:val="24"/>
                <w:szCs w:val="24"/>
                <w:lang w:val="uk-UA" w:eastAsia="zh-CN"/>
              </w:rPr>
              <w:t xml:space="preserve">ідсутні </w:t>
            </w:r>
            <w:r>
              <w:rPr>
                <w:rFonts w:eastAsia="NSimSun" w:cs="Lucida Sans"/>
                <w:color w:val="auto"/>
                <w:kern w:val="2"/>
                <w:sz w:val="24"/>
                <w:szCs w:val="24"/>
                <w:lang w:val="uk-UA" w:eastAsia="zh-CN" w:bidi="hi-IN"/>
              </w:rPr>
              <w:t xml:space="preserve">з причин настання негативних </w:t>
            </w:r>
            <w:r>
              <w:rPr>
                <w:rFonts w:eastAsia="NSimSun" w:cs="Lucida Sans"/>
                <w:b w:val="false"/>
                <w:i w:val="false"/>
                <w:caps w:val="false"/>
                <w:smallCaps w:val="false"/>
                <w:color w:val="auto"/>
                <w:spacing w:val="0"/>
                <w:kern w:val="2"/>
                <w:sz w:val="24"/>
                <w:szCs w:val="24"/>
                <w:lang w:val="uk-UA" w:eastAsia="zh-CN" w:bidi="hi-IN"/>
              </w:rPr>
              <w:t>наслідків не вирішеної проблеми щодо економічно обґрунтованої вартості проїзду пасажирів</w:t>
            </w:r>
          </w:p>
        </w:tc>
        <w:tc>
          <w:tcPr>
            <w:tcW w:w="3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Погіршення якості послуг з пасажирських перевезень та безпеки проїзду пасажирів у громадському транспорті, не стабільність виконання графіків руху тощо призведе до вимушеного використання послуг таксі</w:t>
            </w:r>
          </w:p>
        </w:tc>
      </w:tr>
      <w:tr>
        <w:trPr/>
        <w:tc>
          <w:tcPr>
            <w:tcW w:w="2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2</w:t>
            </w:r>
          </w:p>
        </w:tc>
        <w:tc>
          <w:tcPr>
            <w:tcW w:w="37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змінні витрати пасажирів на проїзд.</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Отримання послуг з перевезення громадським транспортом в належн</w:t>
            </w:r>
            <w:r>
              <w:rPr>
                <w:rFonts w:eastAsia="NSimSun" w:cs="Lucida Sans"/>
                <w:color w:val="auto"/>
                <w:kern w:val="2"/>
                <w:sz w:val="24"/>
                <w:szCs w:val="24"/>
                <w:lang w:val="uk-UA" w:eastAsia="zh-CN" w:bidi="hi-IN"/>
              </w:rPr>
              <w:t xml:space="preserve">ій </w:t>
            </w:r>
            <w:r>
              <w:rPr>
                <w:sz w:val="24"/>
                <w:szCs w:val="24"/>
                <w:lang w:val="uk-UA" w:eastAsia="zh-CN"/>
              </w:rPr>
              <w:t>якос</w:t>
            </w:r>
            <w:r>
              <w:rPr>
                <w:rFonts w:eastAsia="NSimSun" w:cs="Lucida Sans"/>
                <w:color w:val="auto"/>
                <w:kern w:val="2"/>
                <w:sz w:val="24"/>
                <w:szCs w:val="24"/>
                <w:lang w:val="uk-UA" w:eastAsia="zh-CN" w:bidi="hi-IN"/>
              </w:rPr>
              <w:t>ті</w:t>
            </w:r>
          </w:p>
        </w:tc>
        <w:tc>
          <w:tcPr>
            <w:tcW w:w="3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Створення напруги у видатковій частині міського бюджету — перерозподіл видатків за рахунок інших галузей: освіти, житлово-комунального господарства, соціальної сфери, тощо.</w:t>
            </w:r>
          </w:p>
        </w:tc>
      </w:tr>
      <w:tr>
        <w:trPr/>
        <w:tc>
          <w:tcPr>
            <w:tcW w:w="2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3</w:t>
            </w:r>
          </w:p>
        </w:tc>
        <w:tc>
          <w:tcPr>
            <w:tcW w:w="37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rFonts w:eastAsia="NSimSun" w:cs="Lucida Sans"/>
                <w:color w:val="auto"/>
                <w:kern w:val="2"/>
                <w:sz w:val="24"/>
                <w:szCs w:val="24"/>
                <w:lang w:val="uk-UA" w:eastAsia="zh-CN" w:bidi="hi-IN"/>
              </w:rPr>
              <w:t>Отримання послуг з перевезення громадським транспортом в належній якості</w:t>
            </w:r>
          </w:p>
        </w:tc>
        <w:tc>
          <w:tcPr>
            <w:tcW w:w="3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значне збільшення витрат на проїзд громадським транспортом в порівнянні з вартістю таксі</w:t>
            </w:r>
          </w:p>
        </w:tc>
      </w:tr>
    </w:tbl>
    <w:p>
      <w:pPr>
        <w:pStyle w:val="Normal"/>
        <w:widowControl/>
        <w:suppressAutoHyphens w:val="true"/>
        <w:bidi w:val="0"/>
        <w:spacing w:before="0" w:after="0"/>
        <w:ind w:left="0" w:right="0" w:hanging="0"/>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pPr>
      <w:bookmarkStart w:id="12" w:name="n141"/>
      <w:bookmarkEnd w:id="12"/>
      <w:r>
        <w:rPr>
          <w:lang w:val="uk-UA" w:eastAsia="zh-CN"/>
        </w:rPr>
        <w:tab/>
        <w:t>Оцінка впливу на сферу інтересів суб’єктів господарювання</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tbl>
      <w:tblPr>
        <w:tblW w:w="9813" w:type="dxa"/>
        <w:jc w:val="left"/>
        <w:tblInd w:w="-5"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3858"/>
        <w:gridCol w:w="1190"/>
        <w:gridCol w:w="1196"/>
        <w:gridCol w:w="1193"/>
        <w:gridCol w:w="1190"/>
        <w:gridCol w:w="1185"/>
      </w:tblGrid>
      <w:tr>
        <w:trPr/>
        <w:tc>
          <w:tcPr>
            <w:tcW w:w="385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Показник</w:t>
            </w:r>
          </w:p>
        </w:tc>
        <w:tc>
          <w:tcPr>
            <w:tcW w:w="11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Великі</w:t>
            </w:r>
          </w:p>
        </w:tc>
        <w:tc>
          <w:tcPr>
            <w:tcW w:w="11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Середні</w:t>
            </w:r>
          </w:p>
        </w:tc>
        <w:tc>
          <w:tcPr>
            <w:tcW w:w="11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Малі</w:t>
            </w:r>
          </w:p>
        </w:tc>
        <w:tc>
          <w:tcPr>
            <w:tcW w:w="11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Мікро</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Разом</w:t>
            </w:r>
          </w:p>
        </w:tc>
      </w:tr>
      <w:tr>
        <w:trPr/>
        <w:tc>
          <w:tcPr>
            <w:tcW w:w="385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pacing w:val="0"/>
                <w:sz w:val="24"/>
                <w:szCs w:val="24"/>
                <w:lang w:val="uk-UA" w:eastAsia="zh-CN"/>
              </w:rPr>
            </w:pPr>
            <w:r>
              <w:rPr>
                <w:spacing w:val="0"/>
                <w:sz w:val="24"/>
                <w:szCs w:val="24"/>
                <w:lang w:val="uk-UA" w:eastAsia="zh-CN"/>
              </w:rPr>
              <w:t>Кількість суб’єктів господарювання, що підпадають під дію регулювання, одиниць</w:t>
            </w:r>
          </w:p>
        </w:tc>
        <w:tc>
          <w:tcPr>
            <w:tcW w:w="11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rFonts w:eastAsia="NSimSun" w:cs="Lucida Sans"/>
                <w:color w:val="auto"/>
                <w:spacing w:val="0"/>
                <w:kern w:val="2"/>
                <w:sz w:val="24"/>
                <w:szCs w:val="24"/>
                <w:lang w:val="uk-UA" w:eastAsia="zh-CN" w:bidi="hi-IN"/>
              </w:rPr>
            </w:pPr>
            <w:r>
              <w:rPr>
                <w:rFonts w:eastAsia="NSimSun" w:cs="Lucida Sans"/>
                <w:color w:val="auto"/>
                <w:spacing w:val="0"/>
                <w:kern w:val="2"/>
                <w:sz w:val="24"/>
                <w:szCs w:val="24"/>
                <w:lang w:val="uk-UA" w:eastAsia="zh-CN" w:bidi="hi-IN"/>
              </w:rPr>
              <w:t>3</w:t>
            </w:r>
          </w:p>
        </w:tc>
        <w:tc>
          <w:tcPr>
            <w:tcW w:w="11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t>3</w:t>
            </w:r>
          </w:p>
        </w:tc>
      </w:tr>
      <w:tr>
        <w:trPr/>
        <w:tc>
          <w:tcPr>
            <w:tcW w:w="385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pacing w:val="0"/>
                <w:sz w:val="24"/>
                <w:szCs w:val="24"/>
                <w:lang w:val="uk-UA" w:eastAsia="zh-CN"/>
              </w:rPr>
            </w:pPr>
            <w:r>
              <w:rPr>
                <w:spacing w:val="0"/>
                <w:sz w:val="24"/>
                <w:szCs w:val="24"/>
                <w:lang w:val="uk-UA" w:eastAsia="zh-CN"/>
              </w:rPr>
              <w:t>Питома вага групи у загальній кількості, відсотків</w:t>
            </w:r>
          </w:p>
        </w:tc>
        <w:tc>
          <w:tcPr>
            <w:tcW w:w="11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t>100</w:t>
            </w:r>
          </w:p>
        </w:tc>
        <w:tc>
          <w:tcPr>
            <w:tcW w:w="11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pPr>
            <w:r>
              <w:rPr>
                <w:spacing w:val="0"/>
                <w:sz w:val="24"/>
                <w:szCs w:val="24"/>
                <w:lang w:val="uk-UA" w:eastAsia="zh-CN"/>
              </w:rPr>
              <w:t>100</w:t>
            </w:r>
          </w:p>
        </w:tc>
      </w:tr>
    </w:tbl>
    <w:p>
      <w:pPr>
        <w:pStyle w:val="Style21"/>
        <w:rPr>
          <w:sz w:val="20"/>
          <w:szCs w:val="24"/>
        </w:rPr>
      </w:pPr>
      <w:r>
        <w:rPr>
          <w:sz w:val="20"/>
          <w:szCs w:val="24"/>
        </w:rPr>
      </w:r>
    </w:p>
    <w:p>
      <w:pPr>
        <w:pStyle w:val="Style21"/>
        <w:rPr>
          <w:sz w:val="20"/>
          <w:szCs w:val="24"/>
        </w:rPr>
      </w:pPr>
      <w:r>
        <w:rPr>
          <w:sz w:val="20"/>
          <w:szCs w:val="24"/>
        </w:rPr>
      </w:r>
    </w:p>
    <w:tbl>
      <w:tblPr>
        <w:tblW w:w="5000" w:type="pct"/>
        <w:jc w:val="left"/>
        <w:tblInd w:w="-5"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2262"/>
        <w:gridCol w:w="3749"/>
        <w:gridCol w:w="3854"/>
      </w:tblGrid>
      <w:tr>
        <w:trPr/>
        <w:tc>
          <w:tcPr>
            <w:tcW w:w="226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Вид альтернативи</w:t>
            </w:r>
          </w:p>
        </w:tc>
        <w:tc>
          <w:tcPr>
            <w:tcW w:w="374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Вигоди</w:t>
            </w:r>
          </w:p>
        </w:tc>
        <w:tc>
          <w:tcPr>
            <w:tcW w:w="3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tc>
      </w:tr>
      <w:tr>
        <w:trPr/>
        <w:tc>
          <w:tcPr>
            <w:tcW w:w="22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Альтернатива 1</w:t>
            </w:r>
          </w:p>
        </w:tc>
        <w:tc>
          <w:tcPr>
            <w:tcW w:w="374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rFonts w:eastAsia="NSimSun" w:cs="Lucida Sans"/>
                <w:color w:val="auto"/>
                <w:kern w:val="2"/>
                <w:sz w:val="24"/>
                <w:szCs w:val="24"/>
                <w:lang w:val="uk-UA" w:eastAsia="zh-CN" w:bidi="hi-IN"/>
              </w:rPr>
              <w:t>В</w:t>
            </w:r>
            <w:r>
              <w:rPr>
                <w:sz w:val="24"/>
                <w:szCs w:val="24"/>
                <w:lang w:val="uk-UA" w:eastAsia="zh-CN"/>
              </w:rPr>
              <w:t xml:space="preserve">ідсутні </w:t>
            </w:r>
            <w:r>
              <w:rPr>
                <w:rFonts w:eastAsia="NSimSun" w:cs="Lucida Sans"/>
                <w:color w:val="auto"/>
                <w:kern w:val="2"/>
                <w:sz w:val="24"/>
                <w:szCs w:val="24"/>
                <w:lang w:val="uk-UA" w:eastAsia="zh-CN" w:bidi="hi-IN"/>
              </w:rPr>
              <w:t xml:space="preserve">з причин настання негативних </w:t>
            </w:r>
            <w:r>
              <w:rPr>
                <w:rFonts w:eastAsia="NSimSun" w:cs="Lucida Sans"/>
                <w:b w:val="false"/>
                <w:i w:val="false"/>
                <w:caps w:val="false"/>
                <w:smallCaps w:val="false"/>
                <w:color w:val="auto"/>
                <w:spacing w:val="0"/>
                <w:kern w:val="2"/>
                <w:sz w:val="24"/>
                <w:szCs w:val="24"/>
                <w:lang w:val="uk-UA" w:eastAsia="zh-CN" w:bidi="hi-IN"/>
              </w:rPr>
              <w:t>наслідків не вирішеної проблеми щодо економічно обґрунтованої вартості проїзду пасажирів</w:t>
            </w:r>
          </w:p>
        </w:tc>
        <w:tc>
          <w:tcPr>
            <w:tcW w:w="3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jc w:val="left"/>
              <w:rPr>
                <w:sz w:val="24"/>
                <w:szCs w:val="24"/>
              </w:rPr>
            </w:pPr>
            <w:r>
              <w:rPr>
                <w:sz w:val="24"/>
                <w:szCs w:val="24"/>
              </w:rPr>
              <w:t>Погіршення технічного стану рухомого складу;</w:t>
            </w:r>
          </w:p>
          <w:p>
            <w:pPr>
              <w:pStyle w:val="Normal"/>
              <w:widowControl w:val="false"/>
              <w:spacing w:lineRule="auto" w:line="240"/>
              <w:rPr>
                <w:sz w:val="24"/>
                <w:szCs w:val="24"/>
              </w:rPr>
            </w:pPr>
            <w:r>
              <w:rPr>
                <w:sz w:val="24"/>
                <w:szCs w:val="24"/>
              </w:rPr>
              <w:t>Відтік кваліфікованих водіїв з підприємств;</w:t>
            </w:r>
          </w:p>
          <w:p>
            <w:pPr>
              <w:pStyle w:val="Normal"/>
              <w:widowControl w:val="false"/>
              <w:spacing w:lineRule="auto" w:line="240"/>
              <w:rPr/>
            </w:pPr>
            <w:r>
              <w:rPr>
                <w:sz w:val="24"/>
                <w:szCs w:val="24"/>
              </w:rPr>
              <w:t>Виникнення заборгованості по сплаті обов’язкових податків та платежів;</w:t>
            </w:r>
          </w:p>
          <w:p>
            <w:pPr>
              <w:pStyle w:val="Normal"/>
              <w:widowControl w:val="false"/>
              <w:spacing w:lineRule="auto" w:line="240" w:before="0" w:after="0"/>
              <w:ind w:hanging="0"/>
              <w:jc w:val="both"/>
              <w:rPr>
                <w:sz w:val="24"/>
                <w:szCs w:val="24"/>
              </w:rPr>
            </w:pPr>
            <w:r>
              <w:rPr>
                <w:rFonts w:eastAsia="Times New Roman" w:cs="Times New Roman"/>
                <w:color w:val="000000" w:themeColor="text1"/>
                <w:sz w:val="24"/>
                <w:szCs w:val="24"/>
                <w:lang w:eastAsia="ru-RU"/>
              </w:rPr>
              <w:t>Зменшення кількості рейсів за відсутності можливостей за</w:t>
            </w:r>
            <w:r>
              <w:rPr>
                <w:rFonts w:eastAsia="Times New Roman" w:cs="Times New Roman"/>
                <w:color w:val="000000" w:themeColor="text1"/>
                <w:sz w:val="24"/>
                <w:szCs w:val="24"/>
                <w:lang w:val="ru-RU" w:eastAsia="ru-RU"/>
              </w:rPr>
              <w:t>-</w:t>
            </w:r>
            <w:r>
              <w:rPr>
                <w:rFonts w:eastAsia="Times New Roman" w:cs="Times New Roman"/>
                <w:color w:val="000000" w:themeColor="text1"/>
                <w:sz w:val="24"/>
                <w:szCs w:val="24"/>
                <w:lang w:eastAsia="ru-RU"/>
              </w:rPr>
              <w:t>безпечувати належне технічне обслуговування транспортних засобів;</w:t>
            </w:r>
          </w:p>
          <w:p>
            <w:pPr>
              <w:pStyle w:val="Normal"/>
              <w:widowControl w:val="false"/>
              <w:spacing w:lineRule="auto" w:line="240"/>
              <w:rPr>
                <w:sz w:val="24"/>
                <w:szCs w:val="24"/>
              </w:rPr>
            </w:pPr>
            <w:r>
              <w:rPr>
                <w:sz w:val="24"/>
                <w:szCs w:val="24"/>
              </w:rPr>
              <w:t>Припинення функціювання автопідприємств</w:t>
            </w:r>
          </w:p>
        </w:tc>
      </w:tr>
      <w:tr>
        <w:trPr/>
        <w:tc>
          <w:tcPr>
            <w:tcW w:w="22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Альтернатива 2</w:t>
            </w:r>
          </w:p>
        </w:tc>
        <w:tc>
          <w:tcPr>
            <w:tcW w:w="374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Покриття розрахункових витрат;</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Покращення технічного стану автотранспортного парку;</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Підвищення якості надання послуг</w:t>
            </w:r>
          </w:p>
        </w:tc>
        <w:tc>
          <w:tcPr>
            <w:tcW w:w="3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shd w:fill="auto" w:val="clear"/>
                <w:lang w:val="uk-UA" w:eastAsia="zh-CN"/>
              </w:rPr>
              <w:t>Впровадження новітніх технологій перевезень;</w:t>
            </w:r>
          </w:p>
          <w:p>
            <w:pPr>
              <w:pStyle w:val="Normal"/>
              <w:widowControl w:val="false"/>
              <w:suppressAutoHyphens w:val="true"/>
              <w:bidi w:val="0"/>
              <w:spacing w:before="0" w:after="0"/>
              <w:ind w:left="0" w:right="0" w:hanging="0"/>
              <w:jc w:val="left"/>
              <w:rPr/>
            </w:pPr>
            <w:r>
              <w:rPr>
                <w:sz w:val="24"/>
                <w:szCs w:val="24"/>
                <w:shd w:fill="auto" w:val="clear"/>
                <w:lang w:val="uk-UA" w:eastAsia="zh-CN"/>
              </w:rPr>
              <w:t>Залучати до роботи сучасні транспортні засоби</w:t>
            </w:r>
          </w:p>
        </w:tc>
      </w:tr>
      <w:tr>
        <w:trPr/>
        <w:tc>
          <w:tcPr>
            <w:tcW w:w="22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Альтернатива 3</w:t>
            </w:r>
          </w:p>
        </w:tc>
        <w:tc>
          <w:tcPr>
            <w:tcW w:w="374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eastAsia="NSimSun" w:cs="Lucida Sans"/>
                <w:color w:val="auto"/>
                <w:kern w:val="2"/>
                <w:sz w:val="24"/>
                <w:szCs w:val="24"/>
                <w:lang w:val="uk-UA" w:eastAsia="zh-CN" w:bidi="hi-IN"/>
              </w:rPr>
            </w:pPr>
            <w:r>
              <w:rPr>
                <w:rFonts w:eastAsia="NSimSun" w:cs="Lucida Sans"/>
                <w:color w:val="auto"/>
                <w:kern w:val="2"/>
                <w:sz w:val="24"/>
                <w:szCs w:val="24"/>
                <w:lang w:val="uk-UA" w:eastAsia="zh-CN" w:bidi="hi-IN"/>
              </w:rPr>
              <w:t>Покриття розрахункових витрат;</w:t>
            </w:r>
          </w:p>
          <w:p>
            <w:pPr>
              <w:pStyle w:val="Normal"/>
              <w:widowControl w:val="false"/>
              <w:suppressAutoHyphens w:val="true"/>
              <w:bidi w:val="0"/>
              <w:spacing w:before="0" w:after="0"/>
              <w:ind w:left="0" w:right="0" w:hanging="0"/>
              <w:jc w:val="left"/>
              <w:rPr>
                <w:rFonts w:ascii="Times New Roman" w:hAnsi="Times New Roman" w:eastAsia="NSimSun" w:cs="Lucida Sans"/>
                <w:color w:val="auto"/>
                <w:kern w:val="2"/>
                <w:sz w:val="24"/>
                <w:szCs w:val="24"/>
                <w:lang w:val="uk-UA" w:eastAsia="zh-CN" w:bidi="hi-IN"/>
              </w:rPr>
            </w:pPr>
            <w:r>
              <w:rPr>
                <w:rFonts w:eastAsia="NSimSun" w:cs="Lucida Sans"/>
                <w:b w:val="false"/>
                <w:i w:val="false"/>
                <w:caps w:val="false"/>
                <w:smallCaps w:val="false"/>
                <w:color w:val="auto"/>
                <w:spacing w:val="0"/>
                <w:kern w:val="2"/>
                <w:sz w:val="24"/>
                <w:szCs w:val="24"/>
                <w:lang w:val="uk-UA" w:eastAsia="zh-CN" w:bidi="hi-IN"/>
              </w:rPr>
              <w:t>Покращення рівня транспортного обслуговування населення, шляхом забезпечення високої регулярності руху та забезпечення належного технічного стану рухомого складу</w:t>
            </w:r>
          </w:p>
        </w:tc>
        <w:tc>
          <w:tcPr>
            <w:tcW w:w="3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rFonts w:eastAsia="Times New Roman" w:cs="Times New Roman"/>
                <w:color w:val="000000" w:themeColor="text1"/>
                <w:sz w:val="24"/>
                <w:szCs w:val="24"/>
                <w:lang w:val="uk-UA" w:eastAsia="ru-RU"/>
              </w:rPr>
              <w:t>Витрати на провадження господарської діяльності спрямованої на забезпечення надання якісних послуг з перевезення пасажирів.</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Залучати до роботи сучасні транспортні засоби</w:t>
            </w:r>
          </w:p>
        </w:tc>
      </w:tr>
    </w:tbl>
    <w:p>
      <w:pPr>
        <w:pStyle w:val="Normal"/>
        <w:widowControl/>
        <w:suppressAutoHyphens w:val="true"/>
        <w:bidi w:val="0"/>
        <w:spacing w:before="0" w:after="0"/>
        <w:ind w:left="0" w:right="0" w:hanging="0"/>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center"/>
        <w:rPr/>
      </w:pPr>
      <w:bookmarkStart w:id="13" w:name="n151"/>
      <w:bookmarkEnd w:id="13"/>
      <w:r>
        <w:rPr>
          <w:b/>
          <w:bCs/>
          <w:spacing w:val="-30"/>
          <w:sz w:val="28"/>
          <w:szCs w:val="28"/>
          <w:lang w:val="uk-UA" w:eastAsia="zh-CN"/>
        </w:rPr>
        <w:t>IV.</w:t>
      </w:r>
      <w:r>
        <w:rPr>
          <w:b/>
          <w:bCs/>
          <w:sz w:val="28"/>
          <w:szCs w:val="28"/>
          <w:lang w:val="uk-UA" w:eastAsia="zh-CN"/>
        </w:rPr>
        <w:t xml:space="preserve"> Вибір найбільш оптимального альтернативного способу досягнення </w:t>
      </w:r>
      <w:r>
        <w:rPr>
          <w:b/>
          <w:bCs/>
          <w:spacing w:val="0"/>
          <w:sz w:val="28"/>
          <w:szCs w:val="28"/>
          <w:lang w:val="uk-UA" w:eastAsia="zh-CN"/>
        </w:rPr>
        <w:t>цілей</w:t>
      </w:r>
    </w:p>
    <w:p>
      <w:pPr>
        <w:pStyle w:val="Normal"/>
        <w:widowControl/>
        <w:suppressAutoHyphens w:val="true"/>
        <w:bidi w:val="0"/>
        <w:spacing w:before="0" w:after="0"/>
        <w:ind w:left="0" w:right="0" w:firstLine="397"/>
        <w:jc w:val="both"/>
        <w:rPr>
          <w:b w:val="false"/>
          <w:b w:val="false"/>
          <w:bCs w:val="false"/>
          <w:sz w:val="20"/>
          <w:szCs w:val="24"/>
          <w:lang w:val="uk-UA" w:eastAsia="zh-CN"/>
        </w:rPr>
      </w:pPr>
      <w:r>
        <w:rPr>
          <w:b w:val="false"/>
          <w:bCs w:val="false"/>
          <w:sz w:val="20"/>
          <w:szCs w:val="24"/>
          <w:lang w:val="uk-UA" w:eastAsia="zh-CN"/>
        </w:rPr>
      </w:r>
    </w:p>
    <w:p>
      <w:pPr>
        <w:pStyle w:val="Normal"/>
        <w:widowControl/>
        <w:suppressAutoHyphens w:val="true"/>
        <w:bidi w:val="0"/>
        <w:spacing w:before="0" w:after="0"/>
        <w:ind w:left="0" w:right="0" w:hanging="0"/>
        <w:jc w:val="both"/>
        <w:rPr>
          <w:sz w:val="24"/>
          <w:szCs w:val="24"/>
          <w:lang w:val="uk-UA" w:eastAsia="zh-CN"/>
        </w:rPr>
      </w:pPr>
      <w:bookmarkStart w:id="14" w:name="n153"/>
      <w:bookmarkEnd w:id="14"/>
      <w:r>
        <w:rPr>
          <w:sz w:val="24"/>
          <w:szCs w:val="24"/>
          <w:lang w:val="uk-UA" w:eastAsia="zh-CN"/>
        </w:rPr>
        <w:t xml:space="preserve">Вартість балів визначається за чотирибальною системою оцінки ступеня досягнення </w:t>
      </w:r>
      <w:r>
        <w:rPr>
          <w:spacing w:val="0"/>
          <w:sz w:val="24"/>
          <w:szCs w:val="24"/>
          <w:lang w:val="uk-UA" w:eastAsia="zh-CN"/>
        </w:rPr>
        <w:t>визначених</w:t>
      </w:r>
      <w:r>
        <w:rPr>
          <w:sz w:val="24"/>
          <w:szCs w:val="24"/>
          <w:lang w:val="uk-UA" w:eastAsia="zh-CN"/>
        </w:rPr>
        <w:t xml:space="preserve"> цілей, де:</w:t>
      </w:r>
    </w:p>
    <w:p>
      <w:pPr>
        <w:pStyle w:val="Normal"/>
        <w:widowControl/>
        <w:suppressAutoHyphens w:val="true"/>
        <w:bidi w:val="0"/>
        <w:spacing w:before="0" w:after="0"/>
        <w:ind w:left="0" w:right="0" w:hanging="0"/>
        <w:jc w:val="both"/>
        <w:rPr>
          <w:spacing w:val="0"/>
          <w:sz w:val="24"/>
          <w:szCs w:val="24"/>
          <w:u w:val="single"/>
          <w:lang w:val="uk-UA" w:eastAsia="zh-CN"/>
        </w:rPr>
      </w:pPr>
      <w:r>
        <w:rPr>
          <w:spacing w:val="0"/>
          <w:sz w:val="24"/>
          <w:szCs w:val="24"/>
          <w:u w:val="single"/>
          <w:lang w:val="uk-UA" w:eastAsia="zh-CN"/>
        </w:rPr>
        <w:t>4 – цілі прийняття регуляторного акта, які можуть бути досягнуті повною мірою</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(проблема більше існувати не буде);</w:t>
      </w:r>
    </w:p>
    <w:p>
      <w:pPr>
        <w:pStyle w:val="Normal"/>
        <w:widowControl/>
        <w:suppressAutoHyphens w:val="true"/>
        <w:bidi w:val="0"/>
        <w:spacing w:before="0" w:after="0"/>
        <w:ind w:left="0" w:right="0" w:hanging="0"/>
        <w:jc w:val="both"/>
        <w:rPr>
          <w:spacing w:val="0"/>
          <w:sz w:val="24"/>
          <w:szCs w:val="24"/>
          <w:u w:val="single"/>
          <w:lang w:val="uk-UA" w:eastAsia="zh-CN"/>
        </w:rPr>
      </w:pPr>
      <w:bookmarkStart w:id="15" w:name="n155"/>
      <w:bookmarkEnd w:id="15"/>
      <w:r>
        <w:rPr>
          <w:spacing w:val="0"/>
          <w:sz w:val="24"/>
          <w:szCs w:val="24"/>
          <w:u w:val="single"/>
          <w:lang w:val="uk-UA" w:eastAsia="zh-CN"/>
        </w:rPr>
        <w:t>3 – цілі прийняття регуляторного акта, які можуть бути досягнуті майже повною мірою</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(усі важливі аспекти проблеми існувати не будуть);</w:t>
      </w:r>
    </w:p>
    <w:p>
      <w:pPr>
        <w:pStyle w:val="Normal"/>
        <w:widowControl/>
        <w:suppressAutoHyphens w:val="true"/>
        <w:bidi w:val="0"/>
        <w:spacing w:before="0" w:after="0"/>
        <w:ind w:left="0" w:right="0" w:hanging="0"/>
        <w:jc w:val="both"/>
        <w:rPr>
          <w:sz w:val="24"/>
          <w:szCs w:val="24"/>
          <w:u w:val="single"/>
          <w:lang w:val="uk-UA" w:eastAsia="zh-CN"/>
        </w:rPr>
      </w:pPr>
      <w:bookmarkStart w:id="16" w:name="n156"/>
      <w:bookmarkEnd w:id="16"/>
      <w:r>
        <w:rPr>
          <w:sz w:val="24"/>
          <w:szCs w:val="24"/>
          <w:u w:val="single"/>
          <w:lang w:val="uk-UA" w:eastAsia="zh-CN"/>
        </w:rPr>
        <w:t>2 – цілі прийняття регуляторного акта, які можуть бути досягнуті частково</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(проблема значно зменшиться, деякі важливі та критичні аспекти проблеми залишаться невирішеними);</w:t>
      </w:r>
    </w:p>
    <w:p>
      <w:pPr>
        <w:pStyle w:val="Normal"/>
        <w:widowControl/>
        <w:suppressAutoHyphens w:val="true"/>
        <w:bidi w:val="0"/>
        <w:spacing w:before="0" w:after="0"/>
        <w:ind w:left="0" w:right="0" w:hanging="0"/>
        <w:jc w:val="both"/>
        <w:rPr>
          <w:sz w:val="24"/>
          <w:szCs w:val="24"/>
          <w:u w:val="single"/>
          <w:lang w:val="uk-UA" w:eastAsia="zh-CN"/>
        </w:rPr>
      </w:pPr>
      <w:bookmarkStart w:id="17" w:name="n157"/>
      <w:bookmarkEnd w:id="17"/>
      <w:r>
        <w:rPr>
          <w:sz w:val="24"/>
          <w:szCs w:val="24"/>
          <w:u w:val="single"/>
          <w:lang w:val="uk-UA" w:eastAsia="zh-CN"/>
        </w:rPr>
        <w:t xml:space="preserve">1 – цілі прийняття регуляторного акта, які не можуть бути досягнуті </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(проблема продовжує існувати)</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bookmarkStart w:id="18" w:name="n158"/>
      <w:bookmarkStart w:id="19" w:name="n158"/>
      <w:bookmarkEnd w:id="19"/>
    </w:p>
    <w:tbl>
      <w:tblPr>
        <w:tblW w:w="5000" w:type="pct"/>
        <w:jc w:val="center"/>
        <w:tblInd w:w="0"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2310"/>
        <w:gridCol w:w="2141"/>
        <w:gridCol w:w="5414"/>
      </w:tblGrid>
      <w:tr>
        <w:trPr/>
        <w:tc>
          <w:tcPr>
            <w:tcW w:w="23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sz w:val="28"/>
                <w:szCs w:val="24"/>
                <w:lang w:val="uk-UA" w:eastAsia="zh-CN"/>
              </w:rPr>
              <w:t xml:space="preserve">Рейтинг результативності </w:t>
            </w:r>
            <w:r>
              <w:rPr>
                <w:sz w:val="20"/>
                <w:szCs w:val="24"/>
                <w:lang w:val="uk-UA" w:eastAsia="zh-CN"/>
              </w:rPr>
              <w:t>(досягнення цілей під час вирішення проблеми)</w:t>
            </w:r>
          </w:p>
        </w:tc>
        <w:tc>
          <w:tcPr>
            <w:tcW w:w="214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8"/>
                <w:szCs w:val="24"/>
                <w:lang w:val="uk-UA" w:eastAsia="zh-CN"/>
              </w:rPr>
            </w:pPr>
            <w:r>
              <w:rPr>
                <w:sz w:val="28"/>
                <w:szCs w:val="24"/>
                <w:lang w:val="uk-UA" w:eastAsia="zh-CN"/>
              </w:rPr>
              <w:t xml:space="preserve">Бал результативності </w:t>
            </w:r>
          </w:p>
          <w:p>
            <w:pPr>
              <w:pStyle w:val="Normal"/>
              <w:widowControl w:val="false"/>
              <w:suppressAutoHyphens w:val="true"/>
              <w:bidi w:val="0"/>
              <w:spacing w:before="0" w:after="0"/>
              <w:ind w:left="0" w:right="0" w:hanging="0"/>
              <w:jc w:val="center"/>
              <w:rPr>
                <w:sz w:val="20"/>
                <w:szCs w:val="24"/>
                <w:lang w:val="uk-UA" w:eastAsia="zh-CN"/>
              </w:rPr>
            </w:pPr>
            <w:r>
              <w:rPr>
                <w:sz w:val="20"/>
                <w:szCs w:val="24"/>
                <w:lang w:val="uk-UA" w:eastAsia="zh-CN"/>
              </w:rPr>
              <w:t>(за чотирибальною системою оцінки)</w:t>
            </w:r>
          </w:p>
        </w:tc>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sz w:val="28"/>
                <w:szCs w:val="24"/>
                <w:lang w:val="uk-UA" w:eastAsia="zh-CN"/>
              </w:rPr>
            </w:pPr>
            <w:r>
              <w:rPr>
                <w:sz w:val="28"/>
                <w:szCs w:val="24"/>
                <w:lang w:val="uk-UA" w:eastAsia="zh-CN"/>
              </w:rPr>
              <w:t>Коментарі щодо присвоєння</w:t>
            </w:r>
          </w:p>
          <w:p>
            <w:pPr>
              <w:pStyle w:val="Normal"/>
              <w:widowControl w:val="false"/>
              <w:suppressAutoHyphens w:val="true"/>
              <w:bidi w:val="0"/>
              <w:spacing w:before="0" w:after="0"/>
              <w:ind w:left="0" w:right="0" w:hanging="0"/>
              <w:jc w:val="center"/>
              <w:rPr>
                <w:sz w:val="28"/>
                <w:szCs w:val="24"/>
                <w:lang w:val="uk-UA" w:eastAsia="zh-CN"/>
              </w:rPr>
            </w:pPr>
            <w:r>
              <w:rPr>
                <w:sz w:val="28"/>
                <w:szCs w:val="24"/>
                <w:lang w:val="uk-UA" w:eastAsia="zh-CN"/>
              </w:rPr>
              <w:t>відповідного бала</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u w:val="single"/>
                <w:lang w:val="uk-UA" w:eastAsia="zh-CN"/>
              </w:rPr>
            </w:pPr>
            <w:r>
              <w:rPr>
                <w:sz w:val="24"/>
                <w:szCs w:val="24"/>
                <w:u w:val="single"/>
                <w:lang w:val="uk-UA" w:eastAsia="zh-CN"/>
              </w:rPr>
              <w:t>Альтернатива 1</w:t>
            </w:r>
          </w:p>
        </w:tc>
        <w:tc>
          <w:tcPr>
            <w:tcW w:w="214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1</w:t>
            </w:r>
          </w:p>
        </w:tc>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rPr>
                <w:sz w:val="24"/>
                <w:szCs w:val="24"/>
              </w:rPr>
            </w:pPr>
            <w:r>
              <w:rPr>
                <w:rFonts w:eastAsia="NSimSun" w:cs="Lucida Sans"/>
                <w:b w:val="false"/>
                <w:i w:val="false"/>
                <w:caps w:val="false"/>
                <w:smallCaps w:val="false"/>
                <w:color w:val="000000"/>
                <w:spacing w:val="0"/>
                <w:kern w:val="2"/>
                <w:sz w:val="24"/>
                <w:szCs w:val="24"/>
                <w:lang w:val="uk-UA" w:eastAsia="zh-CN" w:bidi="hi-IN"/>
              </w:rPr>
              <w:t>Збереження</w:t>
            </w:r>
            <w:r>
              <w:rPr>
                <w:b w:val="false"/>
                <w:i w:val="false"/>
                <w:caps w:val="false"/>
                <w:smallCaps w:val="false"/>
                <w:color w:val="000000"/>
                <w:spacing w:val="0"/>
                <w:sz w:val="24"/>
                <w:szCs w:val="24"/>
              </w:rPr>
              <w:t xml:space="preserve"> діюч</w:t>
            </w:r>
            <w:r>
              <w:rPr>
                <w:rFonts w:eastAsia="NSimSun" w:cs="Lucida Sans"/>
                <w:b w:val="false"/>
                <w:i w:val="false"/>
                <w:caps w:val="false"/>
                <w:smallCaps w:val="false"/>
                <w:color w:val="000000"/>
                <w:spacing w:val="0"/>
                <w:kern w:val="2"/>
                <w:sz w:val="24"/>
                <w:szCs w:val="24"/>
                <w:lang w:val="uk-UA" w:eastAsia="zh-CN" w:bidi="hi-IN"/>
              </w:rPr>
              <w:t>их тарифів</w:t>
            </w:r>
            <w:r>
              <w:rPr>
                <w:b w:val="false"/>
                <w:i w:val="false"/>
                <w:caps w:val="false"/>
                <w:smallCaps w:val="false"/>
                <w:color w:val="000000"/>
                <w:spacing w:val="0"/>
                <w:sz w:val="24"/>
                <w:szCs w:val="24"/>
              </w:rPr>
              <w:t xml:space="preserve"> </w:t>
            </w:r>
            <w:r>
              <w:rPr>
                <w:rFonts w:eastAsia="NSimSun" w:cs="Lucida Sans"/>
                <w:b w:val="false"/>
                <w:i w:val="false"/>
                <w:caps w:val="false"/>
                <w:smallCaps w:val="false"/>
                <w:color w:val="000000"/>
                <w:spacing w:val="0"/>
                <w:kern w:val="2"/>
                <w:sz w:val="24"/>
                <w:szCs w:val="24"/>
                <w:lang w:bidi="hi-IN"/>
              </w:rPr>
              <w:t>вартості проїзду пасажирів</w:t>
            </w:r>
            <w:r>
              <w:rPr>
                <w:b w:val="false"/>
                <w:i w:val="false"/>
                <w:caps w:val="false"/>
                <w:smallCaps w:val="false"/>
                <w:color w:val="000000"/>
                <w:spacing w:val="0"/>
                <w:sz w:val="24"/>
                <w:szCs w:val="24"/>
              </w:rPr>
              <w:t xml:space="preserve"> </w:t>
            </w:r>
            <w:r>
              <w:rPr>
                <w:rFonts w:eastAsia="NSimSun" w:cs="Lucida Sans"/>
                <w:b w:val="false"/>
                <w:i w:val="false"/>
                <w:caps w:val="false"/>
                <w:smallCaps w:val="false"/>
                <w:color w:val="000000"/>
                <w:spacing w:val="0"/>
                <w:kern w:val="2"/>
                <w:sz w:val="24"/>
                <w:szCs w:val="24"/>
                <w:lang w:val="uk-UA" w:eastAsia="zh-CN" w:bidi="hi-IN"/>
              </w:rPr>
              <w:t>призведе до настання негативних наслідків не вирішеної проблеми щодо економічно обґрунтованої вартості проїзду пасажирів</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u w:val="single"/>
                <w:lang w:val="uk-UA" w:eastAsia="zh-CN"/>
              </w:rPr>
            </w:pPr>
            <w:r>
              <w:rPr>
                <w:sz w:val="24"/>
                <w:szCs w:val="24"/>
                <w:u w:val="single"/>
                <w:lang w:val="uk-UA" w:eastAsia="zh-CN"/>
              </w:rPr>
              <w:t>Альтернатива 2</w:t>
            </w:r>
          </w:p>
        </w:tc>
        <w:tc>
          <w:tcPr>
            <w:tcW w:w="214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1</w:t>
            </w:r>
          </w:p>
        </w:tc>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rPr/>
            </w:pPr>
            <w:r>
              <w:rPr>
                <w:sz w:val="24"/>
                <w:szCs w:val="24"/>
              </w:rPr>
              <w:t>Є економічно не виправданим через створення напруги у видатковій частині міського бюджету</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Lucida Sans"/>
                <w:color w:val="auto"/>
                <w:kern w:val="2"/>
                <w:sz w:val="24"/>
                <w:szCs w:val="24"/>
                <w:u w:val="single"/>
                <w:lang w:val="uk-UA" w:eastAsia="zh-CN" w:bidi="hi-IN"/>
              </w:rPr>
            </w:pPr>
            <w:r>
              <w:rPr>
                <w:rFonts w:eastAsia="NSimSun" w:cs="Lucida Sans"/>
                <w:color w:val="auto"/>
                <w:kern w:val="2"/>
                <w:sz w:val="24"/>
                <w:szCs w:val="24"/>
                <w:u w:val="single"/>
                <w:lang w:val="uk-UA" w:eastAsia="zh-CN" w:bidi="hi-IN"/>
              </w:rPr>
              <w:t>Альтернатива 3</w:t>
            </w:r>
          </w:p>
        </w:tc>
        <w:tc>
          <w:tcPr>
            <w:tcW w:w="214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3</w:t>
            </w:r>
          </w:p>
        </w:tc>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rPr>
                <w:sz w:val="24"/>
                <w:szCs w:val="24"/>
              </w:rPr>
            </w:pPr>
            <w:r>
              <w:rPr>
                <w:rFonts w:eastAsia="NSimSun" w:cs="Lucida Sans"/>
                <w:color w:val="auto"/>
                <w:kern w:val="2"/>
                <w:sz w:val="24"/>
                <w:szCs w:val="24"/>
                <w:lang w:val="uk-UA" w:eastAsia="zh-CN" w:bidi="hi-IN"/>
              </w:rPr>
              <w:t xml:space="preserve">Збільшення тарифів вартості проїзду пасажирів у громадському автотранспорті тимчасово зменшить проблематику, важливі та критичні аспекти, що впливають залишаться не вирішеними: не стабільний курс гривні до іноземних валют впливає на вартість запасних частин, палива тощо; дія запроваджених </w:t>
            </w:r>
            <w:r>
              <w:rPr>
                <w:rFonts w:eastAsia="NSimSun" w:cs="Lucida Sans"/>
                <w:b w:val="false"/>
                <w:bCs w:val="false"/>
                <w:i w:val="false"/>
                <w:caps w:val="false"/>
                <w:smallCaps w:val="false"/>
                <w:color w:val="auto"/>
                <w:spacing w:val="0"/>
                <w:kern w:val="2"/>
                <w:sz w:val="24"/>
                <w:szCs w:val="24"/>
                <w:lang w:val="uk-UA" w:eastAsia="zh-CN" w:bidi="hi-IN"/>
              </w:rPr>
              <w:t>обмежувальних</w:t>
            </w:r>
            <w:r>
              <w:rPr>
                <w:rFonts w:eastAsia="NSimSun" w:cs="Lucida Sans"/>
                <w:color w:val="auto"/>
                <w:kern w:val="2"/>
                <w:sz w:val="24"/>
                <w:szCs w:val="24"/>
                <w:lang w:val="uk-UA" w:eastAsia="zh-CN" w:bidi="hi-IN"/>
              </w:rPr>
              <w:t xml:space="preserve"> </w:t>
            </w:r>
            <w:r>
              <w:rPr>
                <w:rFonts w:eastAsia="NSimSun" w:cs="Lucida Sans"/>
                <w:b w:val="false"/>
                <w:bCs w:val="false"/>
                <w:i w:val="false"/>
                <w:caps w:val="false"/>
                <w:smallCaps w:val="false"/>
                <w:color w:val="auto"/>
                <w:spacing w:val="0"/>
                <w:kern w:val="2"/>
                <w:sz w:val="24"/>
                <w:szCs w:val="24"/>
                <w:lang w:val="uk-UA" w:eastAsia="zh-CN" w:bidi="hi-IN"/>
              </w:rPr>
              <w:t>протиепідемічних заходів</w:t>
            </w:r>
            <w:r>
              <w:rPr>
                <w:rFonts w:eastAsia="NSimSun" w:cs="Lucida Sans"/>
                <w:color w:val="auto"/>
                <w:kern w:val="2"/>
                <w:sz w:val="24"/>
                <w:szCs w:val="24"/>
                <w:lang w:val="uk-UA" w:eastAsia="zh-CN" w:bidi="hi-IN"/>
              </w:rPr>
              <w:t xml:space="preserve"> на період загальноукраїнського карантину</w:t>
            </w:r>
          </w:p>
        </w:tc>
      </w:tr>
    </w:tbl>
    <w:p>
      <w:pPr>
        <w:pStyle w:val="Normal"/>
        <w:widowControl/>
        <w:suppressAutoHyphens w:val="true"/>
        <w:bidi w:val="0"/>
        <w:spacing w:before="0" w:after="0"/>
        <w:ind w:left="0" w:right="0" w:firstLine="397"/>
        <w:jc w:val="both"/>
        <w:rPr>
          <w:sz w:val="24"/>
          <w:szCs w:val="21"/>
          <w:lang w:val="uk-UA" w:eastAsia="zh-CN"/>
        </w:rPr>
      </w:pPr>
      <w:r>
        <w:rPr>
          <w:sz w:val="24"/>
          <w:szCs w:val="21"/>
          <w:lang w:val="uk-UA" w:eastAsia="zh-CN"/>
        </w:rPr>
      </w:r>
      <w:bookmarkStart w:id="20" w:name="n159"/>
      <w:bookmarkStart w:id="21" w:name="n159"/>
      <w:bookmarkEnd w:id="21"/>
    </w:p>
    <w:tbl>
      <w:tblPr>
        <w:tblW w:w="5000" w:type="pct"/>
        <w:jc w:val="left"/>
        <w:tblInd w:w="-5"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1744"/>
        <w:gridCol w:w="2260"/>
        <w:gridCol w:w="3217"/>
        <w:gridCol w:w="2643"/>
      </w:tblGrid>
      <w:tr>
        <w:trPr/>
        <w:tc>
          <w:tcPr>
            <w:tcW w:w="17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 xml:space="preserve">Рейтинг </w:t>
            </w:r>
            <w:r>
              <w:rPr>
                <w:spacing w:val="-30"/>
                <w:lang w:val="uk-UA" w:eastAsia="zh-CN"/>
              </w:rPr>
              <w:t>результативності</w:t>
            </w:r>
          </w:p>
        </w:tc>
        <w:tc>
          <w:tcPr>
            <w:tcW w:w="226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 xml:space="preserve">Вигоди </w:t>
            </w:r>
          </w:p>
          <w:p>
            <w:pPr>
              <w:pStyle w:val="Normal"/>
              <w:widowControl w:val="false"/>
              <w:suppressAutoHyphens w:val="true"/>
              <w:bidi w:val="0"/>
              <w:spacing w:before="0" w:after="0"/>
              <w:ind w:left="0" w:right="0" w:hanging="0"/>
              <w:jc w:val="center"/>
              <w:rPr>
                <w:sz w:val="20"/>
                <w:szCs w:val="24"/>
                <w:lang w:val="uk-UA" w:eastAsia="zh-CN"/>
              </w:rPr>
            </w:pPr>
            <w:r>
              <w:rPr>
                <w:sz w:val="20"/>
                <w:szCs w:val="24"/>
                <w:lang w:val="uk-UA" w:eastAsia="zh-CN"/>
              </w:rPr>
              <w:t>(підсумок)</w:t>
            </w:r>
          </w:p>
        </w:tc>
        <w:tc>
          <w:tcPr>
            <w:tcW w:w="321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p>
            <w:pPr>
              <w:pStyle w:val="Normal"/>
              <w:widowControl w:val="false"/>
              <w:suppressAutoHyphens w:val="true"/>
              <w:bidi w:val="0"/>
              <w:spacing w:before="0" w:after="0"/>
              <w:ind w:left="0" w:right="0" w:hanging="0"/>
              <w:jc w:val="center"/>
              <w:rPr>
                <w:lang w:val="uk-UA" w:eastAsia="zh-CN"/>
              </w:rPr>
            </w:pPr>
            <w:r>
              <w:rPr>
                <w:sz w:val="20"/>
                <w:szCs w:val="24"/>
                <w:lang w:val="uk-UA" w:eastAsia="zh-CN"/>
              </w:rPr>
              <w:t>(підсумок)</w:t>
            </w:r>
          </w:p>
        </w:tc>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jc w:val="center"/>
              <w:rPr/>
            </w:pPr>
            <w:r>
              <w:rPr/>
              <w:t>Обґрунтування відповідного місця альтернативи у рейтингу</w:t>
            </w:r>
          </w:p>
        </w:tc>
      </w:tr>
      <w:tr>
        <w:trPr/>
        <w:tc>
          <w:tcPr>
            <w:tcW w:w="17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sz w:val="24"/>
                <w:szCs w:val="24"/>
                <w:u w:val="none"/>
                <w:lang w:val="uk-UA" w:eastAsia="zh-CN"/>
              </w:rPr>
            </w:pPr>
            <w:r>
              <w:rPr>
                <w:sz w:val="24"/>
                <w:szCs w:val="24"/>
                <w:u w:val="none"/>
                <w:lang w:val="uk-UA" w:eastAsia="zh-CN"/>
              </w:rPr>
              <w:t xml:space="preserve">1 </w:t>
            </w:r>
          </w:p>
          <w:p>
            <w:pPr>
              <w:pStyle w:val="Normal"/>
              <w:widowControl w:val="false"/>
              <w:suppressAutoHyphens w:val="true"/>
              <w:bidi w:val="0"/>
              <w:spacing w:before="0" w:after="0"/>
              <w:ind w:left="0" w:right="0" w:hanging="0"/>
              <w:jc w:val="center"/>
              <w:rPr>
                <w:rFonts w:ascii="Times New Roman" w:hAnsi="Times New Roman"/>
                <w:sz w:val="20"/>
                <w:szCs w:val="24"/>
                <w:u w:val="none"/>
                <w:lang w:val="uk-UA" w:eastAsia="zh-CN"/>
              </w:rPr>
            </w:pPr>
            <w:r>
              <w:rPr>
                <w:sz w:val="20"/>
                <w:szCs w:val="24"/>
                <w:u w:val="none"/>
                <w:lang w:val="uk-UA" w:eastAsia="zh-CN"/>
              </w:rPr>
              <w:t>(Альтернатива 1)</w:t>
            </w:r>
          </w:p>
        </w:tc>
        <w:tc>
          <w:tcPr>
            <w:tcW w:w="226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rFonts w:eastAsia="NSimSun" w:cs="Lucida Sans"/>
                <w:color w:val="auto"/>
                <w:kern w:val="2"/>
                <w:sz w:val="24"/>
                <w:szCs w:val="24"/>
                <w:lang w:val="uk-UA" w:eastAsia="zh-CN" w:bidi="hi-IN"/>
              </w:rPr>
              <w:t>В</w:t>
            </w:r>
            <w:r>
              <w:rPr>
                <w:sz w:val="24"/>
                <w:szCs w:val="24"/>
                <w:lang w:val="uk-UA" w:eastAsia="zh-CN"/>
              </w:rPr>
              <w:t xml:space="preserve">ідсутні </w:t>
            </w:r>
            <w:r>
              <w:rPr>
                <w:rFonts w:eastAsia="NSimSun" w:cs="Lucida Sans"/>
                <w:color w:val="auto"/>
                <w:kern w:val="2"/>
                <w:sz w:val="24"/>
                <w:szCs w:val="24"/>
                <w:lang w:val="uk-UA" w:eastAsia="zh-CN" w:bidi="hi-IN"/>
              </w:rPr>
              <w:t xml:space="preserve">з причин настання негативних </w:t>
            </w:r>
            <w:r>
              <w:rPr>
                <w:rFonts w:eastAsia="NSimSun" w:cs="Lucida Sans"/>
                <w:b w:val="false"/>
                <w:i w:val="false"/>
                <w:caps w:val="false"/>
                <w:smallCaps w:val="false"/>
                <w:color w:val="auto"/>
                <w:spacing w:val="0"/>
                <w:kern w:val="2"/>
                <w:sz w:val="24"/>
                <w:szCs w:val="24"/>
                <w:lang w:val="uk-UA" w:eastAsia="zh-CN" w:bidi="hi-IN"/>
              </w:rPr>
              <w:t>наслідків не вирішеної проблеми щодо економічно обґрунтованої вартості проїзду пасажирів</w:t>
            </w:r>
          </w:p>
        </w:tc>
        <w:tc>
          <w:tcPr>
            <w:tcW w:w="321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lang w:val="uk-UA" w:eastAsia="zh-CN"/>
              </w:rPr>
            </w:pPr>
            <w:r>
              <w:rPr>
                <w:sz w:val="24"/>
                <w:szCs w:val="24"/>
                <w:lang w:val="uk-UA" w:eastAsia="zh-CN"/>
              </w:rPr>
              <w:t>Поступове погіршення якості та безпеки послуг з пасажирських перевезень до повн</w:t>
            </w:r>
            <w:r>
              <w:rPr>
                <w:rFonts w:eastAsia="NSimSun" w:cs="Lucida Sans"/>
                <w:color w:val="auto"/>
                <w:kern w:val="2"/>
                <w:sz w:val="24"/>
                <w:szCs w:val="24"/>
                <w:lang w:val="uk-UA" w:eastAsia="zh-CN" w:bidi="hi-IN"/>
              </w:rPr>
              <w:t>ого</w:t>
            </w:r>
            <w:r>
              <w:rPr>
                <w:sz w:val="24"/>
                <w:szCs w:val="24"/>
                <w:lang w:val="uk-UA" w:eastAsia="zh-CN"/>
              </w:rPr>
              <w:t xml:space="preserve"> або частков</w:t>
            </w:r>
            <w:r>
              <w:rPr>
                <w:rFonts w:eastAsia="NSimSun" w:cs="Lucida Sans"/>
                <w:color w:val="auto"/>
                <w:kern w:val="2"/>
                <w:sz w:val="24"/>
                <w:szCs w:val="24"/>
                <w:lang w:val="uk-UA" w:eastAsia="zh-CN" w:bidi="hi-IN"/>
              </w:rPr>
              <w:t>ого</w:t>
            </w:r>
            <w:r>
              <w:rPr>
                <w:sz w:val="24"/>
                <w:szCs w:val="24"/>
                <w:lang w:val="uk-UA" w:eastAsia="zh-CN"/>
              </w:rPr>
              <w:t xml:space="preserve"> </w:t>
            </w:r>
            <w:r>
              <w:rPr>
                <w:rFonts w:eastAsia="NSimSun" w:cs="Lucida Sans"/>
                <w:color w:val="auto"/>
                <w:kern w:val="2"/>
                <w:sz w:val="24"/>
                <w:szCs w:val="24"/>
                <w:lang w:val="uk-UA" w:eastAsia="zh-CN" w:bidi="hi-IN"/>
              </w:rPr>
              <w:t>припинення роботи автотранспортних підприємств, що призведе до зменшення кількості робочих місць, зменшення надходжень до міського бюджету</w:t>
            </w:r>
          </w:p>
        </w:tc>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jc w:val="left"/>
              <w:rPr>
                <w:sz w:val="24"/>
                <w:szCs w:val="24"/>
              </w:rPr>
            </w:pPr>
            <w:r>
              <w:rPr>
                <w:sz w:val="24"/>
                <w:szCs w:val="24"/>
                <w:lang w:bidi="hi-IN"/>
              </w:rPr>
              <w:t>Даний спосіб не є прийнятним для використання з причини  можлив</w:t>
            </w:r>
            <w:r>
              <w:rPr>
                <w:rFonts w:eastAsia="NSimSun" w:cs="Lucida Sans"/>
                <w:color w:val="auto"/>
                <w:kern w:val="2"/>
                <w:sz w:val="24"/>
                <w:szCs w:val="24"/>
                <w:lang w:val="uk-UA" w:eastAsia="zh-CN" w:bidi="hi-IN"/>
              </w:rPr>
              <w:t>ого</w:t>
            </w:r>
            <w:r>
              <w:rPr>
                <w:sz w:val="24"/>
                <w:szCs w:val="24"/>
                <w:lang w:bidi="hi-IN"/>
              </w:rPr>
              <w:t xml:space="preserve"> припинення функціювання громадського автотранспорту</w:t>
            </w:r>
          </w:p>
        </w:tc>
      </w:tr>
      <w:tr>
        <w:trPr/>
        <w:tc>
          <w:tcPr>
            <w:tcW w:w="17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sz w:val="24"/>
                <w:szCs w:val="24"/>
                <w:lang w:val="uk-UA" w:eastAsia="zh-CN"/>
              </w:rPr>
            </w:pPr>
            <w:r>
              <w:rPr>
                <w:sz w:val="24"/>
                <w:szCs w:val="24"/>
                <w:lang w:val="uk-UA" w:eastAsia="zh-CN"/>
              </w:rPr>
              <w:t>1</w:t>
            </w:r>
          </w:p>
          <w:p>
            <w:pPr>
              <w:pStyle w:val="Normal"/>
              <w:widowControl w:val="false"/>
              <w:suppressAutoHyphens w:val="true"/>
              <w:bidi w:val="0"/>
              <w:spacing w:before="0" w:after="0"/>
              <w:ind w:left="0" w:right="0" w:hanging="0"/>
              <w:jc w:val="center"/>
              <w:rPr>
                <w:rFonts w:ascii="Times New Roman" w:hAnsi="Times New Roman"/>
                <w:sz w:val="20"/>
                <w:szCs w:val="24"/>
                <w:lang w:val="uk-UA" w:eastAsia="zh-CN"/>
              </w:rPr>
            </w:pPr>
            <w:r>
              <w:rPr>
                <w:sz w:val="20"/>
                <w:szCs w:val="24"/>
                <w:u w:val="none"/>
                <w:lang w:val="uk-UA" w:eastAsia="zh-CN"/>
              </w:rPr>
              <w:t>(Альтернатива 2)</w:t>
            </w:r>
          </w:p>
        </w:tc>
        <w:tc>
          <w:tcPr>
            <w:tcW w:w="226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sz w:val="24"/>
                <w:szCs w:val="24"/>
                <w:lang w:val="uk-UA" w:eastAsia="zh-CN"/>
              </w:rPr>
              <w:t>Збереження вартості проїзду</w:t>
            </w:r>
          </w:p>
        </w:tc>
        <w:tc>
          <w:tcPr>
            <w:tcW w:w="321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sz w:val="24"/>
                <w:szCs w:val="24"/>
                <w:lang w:val="uk-UA" w:eastAsia="zh-CN"/>
              </w:rPr>
              <w:t>Додаткові витрати бюджету</w:t>
            </w:r>
          </w:p>
        </w:tc>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rFonts w:eastAsia="NSimSun" w:cs="Lucida Sans"/>
                <w:b w:val="false"/>
                <w:i w:val="false"/>
                <w:caps w:val="false"/>
                <w:smallCaps w:val="false"/>
                <w:color w:val="000000"/>
                <w:spacing w:val="0"/>
                <w:kern w:val="2"/>
                <w:sz w:val="24"/>
                <w:szCs w:val="24"/>
                <w:lang w:val="uk-UA" w:eastAsia="zh-CN" w:bidi="hi-IN"/>
              </w:rPr>
              <w:t>Даний спосіб не є прийнятним для використання в межах сьогоднішньої складної економічної ситуації.</w:t>
            </w:r>
          </w:p>
        </w:tc>
      </w:tr>
      <w:tr>
        <w:trPr/>
        <w:tc>
          <w:tcPr>
            <w:tcW w:w="17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sz w:val="24"/>
                <w:lang w:val="uk-UA" w:eastAsia="zh-CN"/>
              </w:rPr>
            </w:pPr>
            <w:r>
              <w:rPr>
                <w:sz w:val="24"/>
                <w:szCs w:val="24"/>
                <w:lang w:val="uk-UA" w:eastAsia="zh-CN"/>
              </w:rPr>
              <w:t>3</w:t>
            </w:r>
          </w:p>
          <w:p>
            <w:pPr>
              <w:pStyle w:val="Normal"/>
              <w:widowControl w:val="false"/>
              <w:suppressAutoHyphens w:val="true"/>
              <w:bidi w:val="0"/>
              <w:spacing w:before="0" w:after="0"/>
              <w:ind w:left="0" w:right="0" w:hanging="0"/>
              <w:jc w:val="center"/>
              <w:rPr>
                <w:sz w:val="24"/>
                <w:u w:val="none"/>
              </w:rPr>
            </w:pPr>
            <w:r>
              <w:rPr>
                <w:sz w:val="20"/>
                <w:szCs w:val="24"/>
                <w:u w:val="none"/>
                <w:lang w:val="uk-UA" w:eastAsia="zh-CN"/>
              </w:rPr>
              <w:t>(Альтернатива 3)</w:t>
            </w:r>
          </w:p>
        </w:tc>
        <w:tc>
          <w:tcPr>
            <w:tcW w:w="226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pacing w:val="0"/>
                <w:sz w:val="24"/>
                <w:szCs w:val="24"/>
                <w:lang w:val="uk-UA" w:eastAsia="zh-CN"/>
              </w:rPr>
            </w:pPr>
            <w:r>
              <w:rPr>
                <w:rFonts w:eastAsia="NSimSun" w:cs="Lucida Sans"/>
                <w:color w:val="auto"/>
                <w:spacing w:val="0"/>
                <w:kern w:val="2"/>
                <w:sz w:val="24"/>
                <w:szCs w:val="24"/>
                <w:lang w:val="uk-UA" w:eastAsia="zh-CN" w:bidi="hi-IN"/>
              </w:rPr>
              <w:t>Ефективне функціювання громадського транспорту</w:t>
            </w:r>
          </w:p>
        </w:tc>
        <w:tc>
          <w:tcPr>
            <w:tcW w:w="321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Збільшення витрат на 1 грн </w:t>
            </w:r>
            <w:r>
              <w:rPr>
                <w:rFonts w:eastAsia="NSimSun" w:cs="Lucida Sans"/>
                <w:color w:val="auto"/>
                <w:kern w:val="2"/>
                <w:sz w:val="24"/>
                <w:szCs w:val="24"/>
                <w:lang w:val="uk-UA" w:eastAsia="zh-CN" w:bidi="hi-IN"/>
              </w:rPr>
              <w:t xml:space="preserve">за поїздку на </w:t>
            </w:r>
            <w:r>
              <w:rPr>
                <w:sz w:val="24"/>
                <w:szCs w:val="24"/>
                <w:lang w:val="uk-UA" w:eastAsia="zh-CN"/>
              </w:rPr>
              <w:t>міських автобусних маршрутах</w:t>
            </w:r>
          </w:p>
        </w:tc>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Велика кількість вигод </w:t>
            </w:r>
            <w:r>
              <w:rPr>
                <w:rFonts w:eastAsia="NSimSun" w:cs="Lucida Sans"/>
                <w:color w:val="auto"/>
                <w:kern w:val="2"/>
                <w:sz w:val="24"/>
                <w:szCs w:val="24"/>
                <w:lang w:val="uk-UA" w:eastAsia="zh-CN" w:bidi="hi-IN"/>
              </w:rPr>
              <w:t xml:space="preserve">порівняно з </w:t>
            </w:r>
            <w:r>
              <w:rPr>
                <w:sz w:val="24"/>
                <w:szCs w:val="24"/>
                <w:lang w:val="uk-UA" w:eastAsia="zh-CN"/>
              </w:rPr>
              <w:t>незначн</w:t>
            </w:r>
            <w:r>
              <w:rPr>
                <w:rFonts w:eastAsia="NSimSun" w:cs="Lucida Sans"/>
                <w:color w:val="auto"/>
                <w:kern w:val="2"/>
                <w:sz w:val="24"/>
                <w:szCs w:val="24"/>
                <w:lang w:val="uk-UA" w:eastAsia="zh-CN" w:bidi="hi-IN"/>
              </w:rPr>
              <w:t>им</w:t>
            </w:r>
            <w:r>
              <w:rPr>
                <w:sz w:val="24"/>
                <w:szCs w:val="24"/>
                <w:lang w:val="uk-UA" w:eastAsia="zh-CN"/>
              </w:rPr>
              <w:t xml:space="preserve"> підвищенням вартості проїзду пасажирів, п</w:t>
            </w:r>
            <w:r>
              <w:rPr>
                <w:rFonts w:eastAsia="Times New Roman" w:cs="Times New Roman"/>
                <w:color w:val="000000" w:themeColor="text1"/>
                <w:sz w:val="24"/>
                <w:szCs w:val="24"/>
                <w:lang w:val="uk-UA" w:eastAsia="ru-RU"/>
              </w:rPr>
              <w:t>ідвищення якості надання транспортних послуг;</w:t>
            </w:r>
          </w:p>
          <w:p>
            <w:pPr>
              <w:pStyle w:val="Normal"/>
              <w:widowControl w:val="false"/>
              <w:suppressAutoHyphens w:val="true"/>
              <w:bidi w:val="0"/>
              <w:spacing w:before="0" w:after="0"/>
              <w:ind w:left="0" w:right="0" w:hanging="0"/>
              <w:jc w:val="left"/>
              <w:rPr>
                <w:sz w:val="24"/>
                <w:szCs w:val="24"/>
              </w:rPr>
            </w:pPr>
            <w:r>
              <w:rPr>
                <w:rFonts w:eastAsia="Times New Roman" w:cs="Times New Roman"/>
                <w:color w:val="000000" w:themeColor="text1"/>
                <w:sz w:val="24"/>
                <w:szCs w:val="24"/>
                <w:lang w:val="uk-UA" w:eastAsia="ru-RU"/>
              </w:rPr>
              <w:t>покращення рівня безпеки</w:t>
            </w:r>
            <w:r>
              <w:rPr>
                <w:rFonts w:eastAsia="Times New Roman" w:cs="Times New Roman"/>
                <w:sz w:val="24"/>
                <w:szCs w:val="24"/>
                <w:lang w:val="uk-UA" w:eastAsia="ru-RU"/>
              </w:rPr>
              <w:t xml:space="preserve"> руху на дорогах.</w:t>
            </w:r>
          </w:p>
        </w:tc>
      </w:tr>
    </w:tbl>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bookmarkStart w:id="22" w:name="n160"/>
      <w:bookmarkStart w:id="23" w:name="n160"/>
      <w:bookmarkEnd w:id="23"/>
    </w:p>
    <w:tbl>
      <w:tblPr>
        <w:tblW w:w="9923" w:type="dxa"/>
        <w:jc w:val="left"/>
        <w:tblInd w:w="-5" w:type="dxa"/>
        <w:tblBorders>
          <w:top w:val="single" w:sz="4" w:space="0" w:color="000000"/>
          <w:left w:val="single" w:sz="4" w:space="0" w:color="000000"/>
          <w:bottom w:val="single" w:sz="4" w:space="0" w:color="000000"/>
          <w:insideH w:val="single" w:sz="4" w:space="0" w:color="000000"/>
        </w:tblBorders>
        <w:tblCellMar>
          <w:top w:w="55" w:type="dxa"/>
          <w:left w:w="45" w:type="dxa"/>
          <w:bottom w:w="55" w:type="dxa"/>
          <w:right w:w="55" w:type="dxa"/>
        </w:tblCellMar>
      </w:tblPr>
      <w:tblGrid>
        <w:gridCol w:w="1586"/>
        <w:gridCol w:w="3739"/>
        <w:gridCol w:w="4598"/>
      </w:tblGrid>
      <w:tr>
        <w:trPr/>
        <w:tc>
          <w:tcPr>
            <w:tcW w:w="158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Рейтинг</w:t>
            </w:r>
          </w:p>
        </w:tc>
        <w:tc>
          <w:tcPr>
            <w:tcW w:w="37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Аргументи щодо переваги обраної альтернативи /</w:t>
            </w:r>
          </w:p>
          <w:p>
            <w:pPr>
              <w:pStyle w:val="Normal"/>
              <w:widowControl w:val="false"/>
              <w:suppressAutoHyphens w:val="true"/>
              <w:bidi w:val="0"/>
              <w:spacing w:before="0" w:after="0"/>
              <w:ind w:left="0" w:right="0" w:hanging="0"/>
              <w:jc w:val="center"/>
              <w:rPr>
                <w:lang w:val="uk-UA" w:eastAsia="zh-CN"/>
              </w:rPr>
            </w:pPr>
            <w:r>
              <w:rPr>
                <w:lang w:val="uk-UA" w:eastAsia="zh-CN"/>
              </w:rPr>
              <w:t>причини відмови від альтернативи</w:t>
            </w:r>
          </w:p>
        </w:tc>
        <w:tc>
          <w:tcPr>
            <w:tcW w:w="4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Оцінка ризику зовнішніх чинників на дію запропонованого регуляторного акта</w:t>
            </w:r>
          </w:p>
        </w:tc>
      </w:tr>
      <w:tr>
        <w:trPr>
          <w:trHeight w:val="2503" w:hRule="atLeast"/>
        </w:trPr>
        <w:tc>
          <w:tcPr>
            <w:tcW w:w="158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u w:val="none"/>
                <w:lang w:val="uk-UA" w:eastAsia="zh-CN"/>
              </w:rPr>
            </w:pPr>
            <w:r>
              <w:rPr>
                <w:sz w:val="24"/>
                <w:szCs w:val="24"/>
                <w:u w:val="none"/>
                <w:lang w:val="uk-UA" w:eastAsia="zh-CN"/>
              </w:rPr>
              <w:t xml:space="preserve">3 </w:t>
            </w:r>
          </w:p>
          <w:p>
            <w:pPr>
              <w:pStyle w:val="Normal"/>
              <w:widowControl w:val="false"/>
              <w:suppressAutoHyphens w:val="true"/>
              <w:bidi w:val="0"/>
              <w:spacing w:before="0" w:after="0"/>
              <w:ind w:left="0" w:right="0" w:hanging="0"/>
              <w:jc w:val="center"/>
              <w:rPr>
                <w:sz w:val="20"/>
                <w:szCs w:val="24"/>
                <w:u w:val="none"/>
                <w:lang w:val="uk-UA" w:eastAsia="zh-CN"/>
              </w:rPr>
            </w:pPr>
            <w:r>
              <w:rPr>
                <w:sz w:val="20"/>
                <w:szCs w:val="24"/>
                <w:u w:val="none"/>
                <w:lang w:val="uk-UA" w:eastAsia="zh-CN"/>
              </w:rPr>
              <w:t>(Альтернатива 3)</w:t>
            </w:r>
          </w:p>
        </w:tc>
        <w:tc>
          <w:tcPr>
            <w:tcW w:w="37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Дія регуляторного акту, що пропонується проектом рішення  Покровської міської ради тимчасово вирішить проблему, але є найбільш ефективним способом вирішення. Актуальність дії даного рішення напряму залежить від економічної ситуації в Україні.</w:t>
            </w:r>
          </w:p>
        </w:tc>
        <w:tc>
          <w:tcPr>
            <w:tcW w:w="4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rFonts w:eastAsia="NSimSun" w:cs="Lucida Sans"/>
                <w:color w:val="auto"/>
                <w:kern w:val="2"/>
                <w:sz w:val="24"/>
                <w:szCs w:val="24"/>
                <w:lang w:val="uk-UA" w:eastAsia="zh-CN" w:bidi="hi-IN"/>
              </w:rPr>
              <w:t>На дію</w:t>
            </w:r>
            <w:r>
              <w:rPr>
                <w:sz w:val="24"/>
                <w:szCs w:val="24"/>
                <w:lang w:val="uk-UA" w:eastAsia="zh-CN"/>
              </w:rPr>
              <w:t xml:space="preserve"> регуляторного акту, що пропонується проектом рішення Покровської міської ради впливатим</w:t>
            </w:r>
            <w:r>
              <w:rPr>
                <w:rFonts w:eastAsia="NSimSun" w:cs="Lucida Sans"/>
                <w:color w:val="auto"/>
                <w:kern w:val="2"/>
                <w:sz w:val="24"/>
                <w:szCs w:val="24"/>
                <w:lang w:val="uk-UA" w:eastAsia="zh-CN" w:bidi="hi-IN"/>
              </w:rPr>
              <w:t>е економічна ситуація в Україні</w:t>
            </w:r>
            <w:r>
              <w:rPr>
                <w:sz w:val="24"/>
                <w:szCs w:val="24"/>
                <w:lang w:val="uk-UA" w:eastAsia="zh-CN"/>
              </w:rPr>
              <w:t>, дії протиепідемічних заходів тощо, відповідно запропонован</w:t>
            </w:r>
            <w:r>
              <w:rPr>
                <w:rFonts w:eastAsia="NSimSun" w:cs="Lucida Sans"/>
                <w:color w:val="auto"/>
                <w:kern w:val="2"/>
                <w:sz w:val="24"/>
                <w:szCs w:val="24"/>
                <w:lang w:val="uk-UA" w:eastAsia="zh-CN" w:bidi="hi-IN"/>
              </w:rPr>
              <w:t>і</w:t>
            </w:r>
            <w:r>
              <w:rPr>
                <w:sz w:val="24"/>
                <w:szCs w:val="24"/>
                <w:lang w:val="uk-UA" w:eastAsia="zh-CN"/>
              </w:rPr>
              <w:t xml:space="preserve"> тарифи вартості проїзду пасажирів стануть не оптимальними до економічно обґрунтованого рівня через деякий час</w:t>
            </w:r>
          </w:p>
        </w:tc>
      </w:tr>
      <w:tr>
        <w:trPr/>
        <w:tc>
          <w:tcPr>
            <w:tcW w:w="158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1</w:t>
            </w:r>
          </w:p>
          <w:p>
            <w:pPr>
              <w:pStyle w:val="Normal"/>
              <w:widowControl w:val="false"/>
              <w:suppressAutoHyphens w:val="true"/>
              <w:bidi w:val="0"/>
              <w:spacing w:before="0" w:after="0"/>
              <w:ind w:left="0" w:right="0" w:hanging="0"/>
              <w:jc w:val="center"/>
              <w:rPr>
                <w:sz w:val="20"/>
                <w:szCs w:val="24"/>
                <w:lang w:val="uk-UA" w:eastAsia="zh-CN"/>
              </w:rPr>
            </w:pPr>
            <w:r>
              <w:rPr>
                <w:sz w:val="20"/>
                <w:szCs w:val="24"/>
                <w:u w:val="none"/>
                <w:lang w:val="uk-UA" w:eastAsia="zh-CN"/>
              </w:rPr>
              <w:t>(Альтернатива 2)</w:t>
            </w:r>
          </w:p>
        </w:tc>
        <w:tc>
          <w:tcPr>
            <w:tcW w:w="37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Навантаження на міський бюджет.</w:t>
            </w:r>
          </w:p>
          <w:p>
            <w:pPr>
              <w:pStyle w:val="Normal"/>
              <w:widowControl w:val="false"/>
              <w:suppressAutoHyphens w:val="true"/>
              <w:bidi w:val="0"/>
              <w:spacing w:before="0" w:after="0"/>
              <w:ind w:left="0" w:right="0" w:hanging="0"/>
              <w:jc w:val="left"/>
              <w:rPr/>
            </w:pPr>
            <w:r>
              <w:rPr>
                <w:sz w:val="24"/>
                <w:szCs w:val="24"/>
                <w:lang w:val="uk-UA" w:eastAsia="zh-CN"/>
              </w:rPr>
              <w:t>У разі відсутності фінансування з міського бюджету ситуація залишиться без змін.</w:t>
            </w:r>
          </w:p>
        </w:tc>
        <w:tc>
          <w:tcPr>
            <w:tcW w:w="4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Х</w:t>
            </w:r>
          </w:p>
        </w:tc>
      </w:tr>
      <w:tr>
        <w:trPr/>
        <w:tc>
          <w:tcPr>
            <w:tcW w:w="158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lang w:val="uk-UA" w:eastAsia="zh-CN"/>
              </w:rPr>
            </w:pPr>
            <w:r>
              <w:rPr>
                <w:sz w:val="24"/>
                <w:szCs w:val="24"/>
                <w:lang w:val="uk-UA" w:eastAsia="zh-CN"/>
              </w:rPr>
              <w:t>1</w:t>
            </w:r>
          </w:p>
          <w:p>
            <w:pPr>
              <w:pStyle w:val="Normal"/>
              <w:widowControl w:val="false"/>
              <w:suppressAutoHyphens w:val="true"/>
              <w:bidi w:val="0"/>
              <w:spacing w:before="0" w:after="0"/>
              <w:ind w:left="0" w:right="0" w:hanging="0"/>
              <w:jc w:val="center"/>
              <w:rPr>
                <w:sz w:val="20"/>
                <w:szCs w:val="24"/>
                <w:lang w:val="uk-UA" w:eastAsia="zh-CN"/>
              </w:rPr>
            </w:pPr>
            <w:r>
              <w:rPr>
                <w:sz w:val="20"/>
                <w:szCs w:val="24"/>
                <w:u w:val="none"/>
                <w:lang w:val="uk-UA" w:eastAsia="zh-CN"/>
              </w:rPr>
              <w:t>(Альтернатива 1)</w:t>
            </w:r>
          </w:p>
        </w:tc>
        <w:tc>
          <w:tcPr>
            <w:tcW w:w="37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Ситуація поступово погіршиться, </w:t>
            </w:r>
            <w:r>
              <w:rPr>
                <w:sz w:val="24"/>
                <w:szCs w:val="24"/>
                <w:lang w:val="uk-UA" w:eastAsia="zh-CN" w:bidi="hi-IN"/>
              </w:rPr>
              <w:t>можливе припинення функціювання громадського автотранспорту.</w:t>
            </w:r>
          </w:p>
        </w:tc>
        <w:tc>
          <w:tcPr>
            <w:tcW w:w="4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Х</w:t>
            </w:r>
          </w:p>
        </w:tc>
      </w:tr>
    </w:tbl>
    <w:p>
      <w:pPr>
        <w:pStyle w:val="Normal"/>
        <w:widowControl/>
        <w:suppressAutoHyphens w:val="true"/>
        <w:bidi w:val="0"/>
        <w:spacing w:before="0" w:after="0"/>
        <w:ind w:left="0" w:right="0" w:firstLine="397"/>
        <w:jc w:val="both"/>
        <w:rPr>
          <w:b/>
          <w:b/>
          <w:bCs/>
          <w:sz w:val="20"/>
          <w:szCs w:val="24"/>
          <w:lang w:val="uk-UA" w:eastAsia="zh-CN"/>
        </w:rPr>
      </w:pPr>
      <w:r>
        <w:rPr>
          <w:b/>
          <w:bCs/>
          <w:sz w:val="20"/>
          <w:szCs w:val="24"/>
          <w:lang w:val="uk-UA" w:eastAsia="zh-CN"/>
        </w:rPr>
      </w:r>
    </w:p>
    <w:p>
      <w:pPr>
        <w:pStyle w:val="Normal"/>
        <w:widowControl/>
        <w:suppressAutoHyphens w:val="true"/>
        <w:bidi w:val="0"/>
        <w:spacing w:before="0" w:after="0"/>
        <w:ind w:left="0" w:right="0" w:firstLine="397"/>
        <w:jc w:val="center"/>
        <w:rPr/>
      </w:pPr>
      <w:bookmarkStart w:id="24" w:name="n161"/>
      <w:bookmarkEnd w:id="24"/>
      <w:r>
        <w:rPr>
          <w:b/>
          <w:bCs/>
          <w:lang w:val="uk-UA" w:eastAsia="zh-CN"/>
        </w:rPr>
        <w:t>V. Механізми та заходи, які забезпечать розв’язання визначеної проблеми</w:t>
      </w:r>
    </w:p>
    <w:p>
      <w:pPr>
        <w:pStyle w:val="Normal"/>
        <w:widowControl/>
        <w:suppressAutoHyphens w:val="true"/>
        <w:bidi w:val="0"/>
        <w:spacing w:before="0" w:after="0"/>
        <w:ind w:left="0" w:right="0" w:firstLine="397"/>
        <w:jc w:val="center"/>
        <w:rPr>
          <w:b/>
          <w:b/>
          <w:bCs/>
          <w:lang w:val="uk-UA" w:eastAsia="zh-CN"/>
        </w:rPr>
      </w:pPr>
      <w:r>
        <w:rPr>
          <w:b/>
          <w:bCs/>
          <w:lang w:val="uk-UA" w:eastAsia="zh-CN"/>
        </w:rPr>
      </w:r>
    </w:p>
    <w:p>
      <w:pPr>
        <w:pStyle w:val="NoList"/>
        <w:widowControl w:val="false"/>
        <w:suppressAutoHyphens w:val="true"/>
        <w:bidi w:val="0"/>
        <w:spacing w:lineRule="exact" w:line="266" w:before="7" w:after="0"/>
        <w:ind w:left="0" w:right="0" w:hanging="0"/>
        <w:jc w:val="both"/>
        <w:rPr/>
      </w:pPr>
      <w:r>
        <w:rPr>
          <w:rFonts w:cs="Times New Roman" w:ascii="Times New Roman" w:hAnsi="Times New Roman"/>
          <w:color w:val="000000"/>
          <w:spacing w:val="0"/>
          <w:sz w:val="28"/>
          <w:szCs w:val="24"/>
          <w:lang w:val="uk-UA" w:eastAsia="zh-CN"/>
        </w:rPr>
        <w:tab/>
        <w:t>Механізмом</w:t>
      </w:r>
      <w:r>
        <w:rPr>
          <w:rFonts w:ascii="Times New Roman" w:hAnsi="Times New Roman"/>
          <w:color w:val="000000"/>
          <w:spacing w:val="148"/>
          <w:sz w:val="28"/>
          <w:szCs w:val="24"/>
          <w:lang w:val="uk-UA" w:eastAsia="zh-CN"/>
        </w:rPr>
        <w:t xml:space="preserve"> </w:t>
      </w:r>
      <w:r>
        <w:rPr>
          <w:rFonts w:cs="Times New Roman" w:ascii="Times New Roman" w:hAnsi="Times New Roman"/>
          <w:color w:val="000000"/>
          <w:spacing w:val="0"/>
          <w:sz w:val="28"/>
          <w:szCs w:val="24"/>
          <w:lang w:val="uk-UA" w:eastAsia="zh-CN"/>
        </w:rPr>
        <w:t>розв’язання</w:t>
      </w:r>
      <w:r>
        <w:rPr>
          <w:rFonts w:ascii="Times New Roman" w:hAnsi="Times New Roman"/>
          <w:color w:val="000000"/>
          <w:spacing w:val="149"/>
          <w:sz w:val="28"/>
          <w:szCs w:val="24"/>
          <w:lang w:val="uk-UA" w:eastAsia="zh-CN"/>
        </w:rPr>
        <w:t xml:space="preserve"> </w:t>
      </w:r>
      <w:r>
        <w:rPr>
          <w:rFonts w:cs="Times New Roman" w:ascii="Times New Roman" w:hAnsi="Times New Roman"/>
          <w:color w:val="000000"/>
          <w:spacing w:val="0"/>
          <w:sz w:val="28"/>
          <w:szCs w:val="24"/>
          <w:lang w:val="uk-UA" w:eastAsia="zh-CN"/>
        </w:rPr>
        <w:t>проблеми</w:t>
      </w:r>
      <w:r>
        <w:rPr>
          <w:rFonts w:ascii="Times New Roman" w:hAnsi="Times New Roman"/>
          <w:color w:val="000000"/>
          <w:spacing w:val="147"/>
          <w:sz w:val="28"/>
          <w:szCs w:val="24"/>
          <w:lang w:val="uk-UA" w:eastAsia="zh-CN"/>
        </w:rPr>
        <w:t xml:space="preserve"> </w:t>
      </w:r>
      <w:r>
        <w:rPr>
          <w:rFonts w:cs="Times New Roman" w:ascii="Times New Roman" w:hAnsi="Times New Roman"/>
          <w:color w:val="000000"/>
          <w:spacing w:val="0"/>
          <w:sz w:val="28"/>
          <w:szCs w:val="24"/>
          <w:lang w:val="uk-UA" w:eastAsia="zh-CN"/>
        </w:rPr>
        <w:t>є</w:t>
      </w:r>
      <w:r>
        <w:rPr>
          <w:rFonts w:ascii="Times New Roman" w:hAnsi="Times New Roman"/>
          <w:color w:val="000000"/>
          <w:spacing w:val="149"/>
          <w:sz w:val="28"/>
          <w:szCs w:val="24"/>
          <w:lang w:val="uk-UA" w:eastAsia="zh-CN"/>
        </w:rPr>
        <w:t xml:space="preserve"> </w:t>
      </w:r>
      <w:r>
        <w:rPr>
          <w:rFonts w:cs="Times New Roman" w:ascii="Times New Roman" w:hAnsi="Times New Roman"/>
          <w:color w:val="000000"/>
          <w:spacing w:val="0"/>
          <w:sz w:val="28"/>
          <w:szCs w:val="24"/>
          <w:lang w:val="uk-UA" w:eastAsia="zh-CN"/>
        </w:rPr>
        <w:t>прийняття</w:t>
      </w:r>
      <w:r>
        <w:rPr>
          <w:rFonts w:ascii="Times New Roman" w:hAnsi="Times New Roman"/>
          <w:color w:val="000000"/>
          <w:spacing w:val="150"/>
          <w:sz w:val="28"/>
          <w:szCs w:val="24"/>
          <w:lang w:val="uk-UA" w:eastAsia="zh-CN"/>
        </w:rPr>
        <w:t xml:space="preserve"> </w:t>
      </w:r>
      <w:r>
        <w:rPr>
          <w:rFonts w:cs="Times New Roman" w:ascii="Times New Roman" w:hAnsi="Times New Roman"/>
          <w:color w:val="000000"/>
          <w:spacing w:val="0"/>
          <w:sz w:val="28"/>
          <w:szCs w:val="24"/>
          <w:lang w:val="uk-UA" w:eastAsia="zh-CN"/>
        </w:rPr>
        <w:t>регуляторного</w:t>
      </w:r>
      <w:r>
        <w:rPr>
          <w:rFonts w:ascii="Times New Roman" w:hAnsi="Times New Roman"/>
          <w:color w:val="000000"/>
          <w:spacing w:val="148"/>
          <w:sz w:val="28"/>
          <w:szCs w:val="24"/>
          <w:lang w:val="uk-UA" w:eastAsia="zh-CN"/>
        </w:rPr>
        <w:t xml:space="preserve"> </w:t>
      </w:r>
      <w:r>
        <w:rPr>
          <w:rFonts w:cs="Times New Roman" w:ascii="Times New Roman" w:hAnsi="Times New Roman"/>
          <w:color w:val="000000"/>
          <w:spacing w:val="0"/>
          <w:sz w:val="28"/>
          <w:szCs w:val="24"/>
          <w:lang w:val="uk-UA" w:eastAsia="zh-CN"/>
        </w:rPr>
        <w:t>акта</w:t>
      </w:r>
      <w:r>
        <w:rPr>
          <w:rFonts w:ascii="Times New Roman" w:hAnsi="Times New Roman"/>
          <w:color w:val="000000"/>
          <w:spacing w:val="157"/>
          <w:sz w:val="28"/>
          <w:szCs w:val="24"/>
          <w:lang w:val="uk-UA" w:eastAsia="zh-CN"/>
        </w:rPr>
        <w:t xml:space="preserve"> </w:t>
      </w:r>
      <w:r>
        <w:rPr>
          <w:rFonts w:ascii="Times New Roman" w:hAnsi="Times New Roman"/>
          <w:color w:val="000000"/>
          <w:spacing w:val="0"/>
          <w:sz w:val="28"/>
          <w:szCs w:val="24"/>
          <w:lang w:val="uk-UA" w:eastAsia="zh-CN"/>
        </w:rPr>
        <w:t>—</w:t>
      </w:r>
      <w:r>
        <w:rPr>
          <w:rFonts w:ascii="Times New Roman" w:hAnsi="Times New Roman"/>
          <w:color w:val="000000"/>
          <w:spacing w:val="149"/>
          <w:sz w:val="28"/>
          <w:szCs w:val="24"/>
          <w:lang w:val="uk-UA" w:eastAsia="zh-CN"/>
        </w:rPr>
        <w:t xml:space="preserve"> </w:t>
      </w:r>
      <w:r>
        <w:rPr>
          <w:rFonts w:cs="Times New Roman" w:ascii="Times New Roman" w:hAnsi="Times New Roman"/>
          <w:color w:val="000000"/>
          <w:spacing w:val="0"/>
          <w:sz w:val="28"/>
          <w:szCs w:val="24"/>
          <w:lang w:val="uk-UA" w:eastAsia="zh-CN"/>
        </w:rPr>
        <w:t xml:space="preserve">рішення </w:t>
      </w:r>
      <w:r>
        <w:rPr>
          <w:rFonts w:eastAsia="NSimSun" w:cs="Times New Roman" w:ascii="Times New Roman" w:hAnsi="Times New Roman"/>
          <w:color w:val="000000"/>
          <w:spacing w:val="0"/>
          <w:kern w:val="2"/>
          <w:sz w:val="28"/>
          <w:szCs w:val="24"/>
          <w:lang w:val="uk-UA" w:eastAsia="zh-CN" w:bidi="hi-IN"/>
        </w:rPr>
        <w:t xml:space="preserve">Покровської </w:t>
      </w:r>
      <w:r>
        <w:rPr>
          <w:rFonts w:cs="Times New Roman" w:ascii="Times New Roman" w:hAnsi="Times New Roman"/>
          <w:color w:val="000000"/>
          <w:spacing w:val="0"/>
          <w:sz w:val="28"/>
          <w:szCs w:val="24"/>
          <w:lang w:val="uk-UA" w:eastAsia="zh-CN"/>
        </w:rPr>
        <w:t>мі</w:t>
      </w:r>
      <w:r>
        <w:rPr>
          <w:rFonts w:cs="Times New Roman" w:ascii="Times New Roman" w:hAnsi="Times New Roman"/>
          <w:b w:val="false"/>
          <w:bCs w:val="false"/>
          <w:color w:val="000000"/>
          <w:spacing w:val="0"/>
          <w:sz w:val="28"/>
          <w:szCs w:val="24"/>
          <w:lang w:val="uk-UA" w:eastAsia="zh-CN"/>
        </w:rPr>
        <w:t>ської</w:t>
      </w:r>
      <w:r>
        <w:rPr>
          <w:rFonts w:ascii="Times New Roman" w:hAnsi="Times New Roman"/>
          <w:b w:val="false"/>
          <w:bCs w:val="false"/>
          <w:color w:val="000000"/>
          <w:spacing w:val="48"/>
          <w:sz w:val="28"/>
          <w:szCs w:val="24"/>
          <w:lang w:val="uk-UA" w:eastAsia="zh-CN"/>
        </w:rPr>
        <w:t xml:space="preserve"> </w:t>
      </w:r>
      <w:r>
        <w:rPr>
          <w:rFonts w:cs="Times New Roman" w:ascii="Times New Roman" w:hAnsi="Times New Roman"/>
          <w:b w:val="false"/>
          <w:bCs w:val="false"/>
          <w:color w:val="000000"/>
          <w:spacing w:val="1"/>
          <w:sz w:val="28"/>
          <w:szCs w:val="24"/>
          <w:lang w:val="uk-UA" w:eastAsia="zh-CN"/>
        </w:rPr>
        <w:t>ради</w:t>
      </w:r>
      <w:r>
        <w:rPr>
          <w:rFonts w:ascii="Times New Roman" w:hAnsi="Times New Roman"/>
          <w:b w:val="false"/>
          <w:bCs w:val="false"/>
          <w:color w:val="000000"/>
          <w:spacing w:val="46"/>
          <w:sz w:val="28"/>
          <w:szCs w:val="24"/>
          <w:lang w:val="uk-UA" w:eastAsia="zh-CN"/>
        </w:rPr>
        <w:t xml:space="preserve"> “</w:t>
      </w:r>
      <w:r>
        <w:rPr>
          <w:rFonts w:cs="Times New Roman" w:ascii="Times New Roman" w:hAnsi="Times New Roman"/>
          <w:b w:val="false"/>
          <w:bCs w:val="false"/>
          <w:color w:val="000000"/>
          <w:spacing w:val="-1"/>
          <w:sz w:val="28"/>
          <w:szCs w:val="24"/>
          <w:lang w:val="uk-UA" w:eastAsia="zh-CN"/>
        </w:rPr>
        <w:t>Про встановлення вартості проїзду пасажирів на міських автобусних маршрутах загального користування в місті Покров”.</w:t>
      </w:r>
    </w:p>
    <w:p>
      <w:pPr>
        <w:pStyle w:val="Normal"/>
        <w:widowControl/>
        <w:suppressAutoHyphens w:val="true"/>
        <w:bidi w:val="0"/>
        <w:spacing w:before="0" w:after="0"/>
        <w:ind w:left="0" w:right="0" w:hanging="0"/>
        <w:jc w:val="both"/>
        <w:rPr/>
      </w:pPr>
      <w:r>
        <w:rPr>
          <w:lang w:val="uk-UA" w:eastAsia="zh-CN"/>
        </w:rPr>
        <w:tab/>
        <w:t xml:space="preserve">Таким чином, для підвищення якості та безпеки надання автотранспортних послуг з перевезення пасажирів організатор перевезень </w:t>
      </w:r>
      <w:r>
        <w:rPr>
          <w:rFonts w:eastAsia="NSimSun" w:cs="Lucida Sans"/>
          <w:color w:val="auto"/>
          <w:kern w:val="2"/>
          <w:sz w:val="28"/>
          <w:szCs w:val="24"/>
          <w:lang w:val="uk-UA" w:eastAsia="zh-CN" w:bidi="hi-IN"/>
        </w:rPr>
        <w:t>надасть</w:t>
      </w:r>
      <w:r>
        <w:rPr>
          <w:lang w:val="uk-UA" w:eastAsia="zh-CN" w:bidi="hi-IN"/>
        </w:rPr>
        <w:t xml:space="preserve"> умови розвитку конкуренції між </w:t>
      </w:r>
      <w:r>
        <w:rPr>
          <w:lang w:val="uk-UA" w:eastAsia="zh-CN"/>
        </w:rPr>
        <w:t>автоперевізниками, використовуючи сучасні транспортні засоби.</w:t>
      </w:r>
    </w:p>
    <w:p>
      <w:pPr>
        <w:pStyle w:val="Normal"/>
        <w:widowControl/>
        <w:suppressAutoHyphens w:val="true"/>
        <w:bidi w:val="0"/>
        <w:spacing w:before="0" w:after="0"/>
        <w:ind w:left="0" w:right="0" w:hanging="0"/>
        <w:jc w:val="both"/>
        <w:rPr/>
      </w:pPr>
      <w:r>
        <w:rPr>
          <w:lang w:val="uk-UA" w:eastAsia="zh-CN"/>
        </w:rPr>
        <w:tab/>
        <w:t>Розв’язання проблеми визначеної у першому розділі Аналізу регуляторного впливу, буде здійснюватися за допомогою наступних механізмів:</w:t>
      </w:r>
    </w:p>
    <w:p>
      <w:pPr>
        <w:pStyle w:val="Normal"/>
        <w:widowControl/>
        <w:numPr>
          <w:ilvl w:val="0"/>
          <w:numId w:val="4"/>
        </w:numPr>
        <w:suppressAutoHyphens w:val="true"/>
        <w:bidi w:val="0"/>
        <w:spacing w:before="0" w:after="0"/>
        <w:ind w:left="0" w:right="0" w:firstLine="397"/>
        <w:jc w:val="both"/>
        <w:rPr/>
      </w:pPr>
      <w:r>
        <w:rPr>
          <w:lang w:val="uk-UA" w:eastAsia="zh-CN"/>
        </w:rPr>
        <w:t xml:space="preserve">Механізм нормотворчої діяльності органів місцевого самоврядування:  підготовка відповідного проекту рішення </w:t>
      </w:r>
      <w:r>
        <w:rPr>
          <w:rFonts w:eastAsia="NSimSun" w:cs="Lucida Sans"/>
          <w:color w:val="auto"/>
          <w:kern w:val="2"/>
          <w:sz w:val="28"/>
          <w:szCs w:val="24"/>
          <w:lang w:val="uk-UA" w:eastAsia="zh-CN" w:bidi="hi-IN"/>
        </w:rPr>
        <w:t xml:space="preserve">Покровської </w:t>
      </w:r>
      <w:r>
        <w:rPr>
          <w:lang w:val="uk-UA" w:eastAsia="zh-CN"/>
        </w:rPr>
        <w:t>міської ради із застосуванням визначених Законом Ук</w:t>
      </w:r>
      <w:r>
        <w:rPr>
          <w:shd w:fill="auto" w:val="clear"/>
          <w:lang w:val="uk-UA" w:eastAsia="zh-CN"/>
        </w:rPr>
        <w:t>раїни “Про засади державної регуляторної політики у сфері господарської діяльності” процедур, прийняття рішення та його оприлюднення (набрання чинності);</w:t>
      </w:r>
    </w:p>
    <w:p>
      <w:pPr>
        <w:pStyle w:val="Normal"/>
        <w:widowControl/>
        <w:numPr>
          <w:ilvl w:val="0"/>
          <w:numId w:val="4"/>
        </w:numPr>
        <w:suppressAutoHyphens w:val="true"/>
        <w:bidi w:val="0"/>
        <w:spacing w:before="0" w:after="0"/>
        <w:ind w:left="0" w:right="0" w:firstLine="397"/>
        <w:jc w:val="both"/>
        <w:rPr/>
      </w:pPr>
      <w:r>
        <w:rPr>
          <w:lang w:val="uk-UA" w:eastAsia="zh-CN"/>
        </w:rPr>
        <w:t xml:space="preserve">Механізм регулювання сфери відносин між </w:t>
      </w:r>
      <w:r>
        <w:rPr>
          <w:rFonts w:eastAsia="NSimSun" w:cs="Lucida Sans"/>
          <w:color w:val="auto"/>
          <w:kern w:val="2"/>
          <w:sz w:val="28"/>
          <w:szCs w:val="24"/>
          <w:lang w:val="uk-UA" w:eastAsia="zh-CN" w:bidi="hi-IN"/>
        </w:rPr>
        <w:t>Покровськ</w:t>
      </w:r>
      <w:r>
        <w:rPr>
          <w:lang w:val="uk-UA" w:eastAsia="zh-CN"/>
        </w:rPr>
        <w:t>ою міською радою та підприємствами-перевізниками;</w:t>
      </w:r>
    </w:p>
    <w:p>
      <w:pPr>
        <w:pStyle w:val="Normal"/>
        <w:widowControl/>
        <w:numPr>
          <w:ilvl w:val="0"/>
          <w:numId w:val="4"/>
        </w:numPr>
        <w:suppressAutoHyphens w:val="true"/>
        <w:bidi w:val="0"/>
        <w:spacing w:before="0" w:after="0"/>
        <w:ind w:left="0" w:right="0" w:firstLine="397"/>
        <w:jc w:val="both"/>
        <w:rPr>
          <w:lang w:val="uk-UA" w:eastAsia="zh-CN"/>
        </w:rPr>
      </w:pPr>
      <w:r>
        <w:rPr>
          <w:lang w:val="uk-UA" w:eastAsia="zh-CN"/>
        </w:rPr>
        <w:t>Механізм взаємодії із територіальною громадою (забезпечить належний доступ інформації про регуляторний акт; сприятиме достатньому рівню обізнаності щодо положень пропонованого регуляторного акта);</w:t>
      </w:r>
    </w:p>
    <w:p>
      <w:pPr>
        <w:pStyle w:val="Normal"/>
        <w:widowControl/>
        <w:numPr>
          <w:ilvl w:val="0"/>
          <w:numId w:val="4"/>
        </w:numPr>
        <w:suppressAutoHyphens w:val="true"/>
        <w:bidi w:val="0"/>
        <w:spacing w:before="0" w:after="0"/>
        <w:ind w:left="0" w:right="0" w:firstLine="397"/>
        <w:jc w:val="both"/>
        <w:rPr/>
      </w:pPr>
      <w:r>
        <w:rPr>
          <w:lang w:val="uk-UA" w:eastAsia="zh-CN"/>
        </w:rPr>
        <w:t>Механізм контролю (забезпечить належне виконання вимог регуляторного акта).</w:t>
      </w:r>
    </w:p>
    <w:p>
      <w:pPr>
        <w:pStyle w:val="Normal"/>
        <w:widowControl/>
        <w:suppressAutoHyphens w:val="true"/>
        <w:bidi w:val="0"/>
        <w:spacing w:before="0" w:after="0"/>
        <w:ind w:left="0" w:right="0" w:hanging="0"/>
        <w:jc w:val="both"/>
        <w:rPr/>
      </w:pPr>
      <w:r>
        <w:rPr>
          <w:lang w:val="uk-UA" w:eastAsia="zh-CN"/>
        </w:rPr>
        <w:tab/>
        <w:t>Запропонований про</w:t>
      </w:r>
      <w:r>
        <w:rPr>
          <w:rFonts w:eastAsia="NSimSun" w:cs="Lucida Sans"/>
          <w:color w:val="auto"/>
          <w:kern w:val="2"/>
          <w:sz w:val="28"/>
          <w:szCs w:val="24"/>
          <w:lang w:val="uk-UA" w:eastAsia="zh-CN" w:bidi="hi-IN"/>
        </w:rPr>
        <w:t>е</w:t>
      </w:r>
      <w:r>
        <w:rPr>
          <w:lang w:val="uk-UA" w:eastAsia="zh-CN"/>
        </w:rPr>
        <w:t>кт регуляторного акт</w:t>
      </w:r>
      <w:r>
        <w:rPr>
          <w:rFonts w:eastAsia="NSimSun" w:cs="Lucida Sans"/>
          <w:color w:val="auto"/>
          <w:kern w:val="2"/>
          <w:sz w:val="28"/>
          <w:szCs w:val="24"/>
          <w:lang w:val="uk-UA" w:eastAsia="zh-CN" w:bidi="hi-IN"/>
        </w:rPr>
        <w:t>у</w:t>
      </w:r>
      <w:r>
        <w:rPr>
          <w:lang w:val="uk-UA" w:eastAsia="zh-CN"/>
        </w:rPr>
        <w:t xml:space="preserve"> відповідає наступним принципам державної регуляторної політики, а саме:</w:t>
      </w:r>
    </w:p>
    <w:p>
      <w:pPr>
        <w:pStyle w:val="Normal"/>
        <w:widowControl/>
        <w:numPr>
          <w:ilvl w:val="0"/>
          <w:numId w:val="5"/>
        </w:numPr>
        <w:suppressAutoHyphens w:val="true"/>
        <w:bidi w:val="0"/>
        <w:spacing w:before="0" w:after="0"/>
        <w:ind w:left="0" w:right="0" w:firstLine="397"/>
        <w:jc w:val="both"/>
        <w:rPr>
          <w:lang w:val="uk-UA" w:eastAsia="zh-CN"/>
        </w:rPr>
      </w:pPr>
      <w:r>
        <w:rPr>
          <w:rFonts w:eastAsia="NSimSun" w:cs="Lucida Sans"/>
          <w:color w:val="auto"/>
          <w:kern w:val="2"/>
          <w:sz w:val="28"/>
          <w:szCs w:val="24"/>
          <w:lang w:val="uk-UA" w:eastAsia="zh-CN" w:bidi="hi-IN"/>
        </w:rPr>
        <w:t>Д</w:t>
      </w:r>
      <w:r>
        <w:rPr>
          <w:lang w:val="uk-UA" w:eastAsia="zh-CN"/>
        </w:rPr>
        <w:t>оцільності — врегулювання питання щодо розрахунку тарифу на послуги пасажирського автомобільного транспорту у відповідності до вимог Наказу Міністерства транспорту та зв’язку України від 17.11.2009 року №1175 “Про затвердження Методики розрахунку тарифів на послуги пасажирського автомобільного транспорту”;</w:t>
      </w:r>
    </w:p>
    <w:p>
      <w:pPr>
        <w:pStyle w:val="Normal"/>
        <w:widowControl/>
        <w:numPr>
          <w:ilvl w:val="0"/>
          <w:numId w:val="5"/>
        </w:numPr>
        <w:suppressAutoHyphens w:val="true"/>
        <w:bidi w:val="0"/>
        <w:spacing w:before="0" w:after="0"/>
        <w:ind w:left="0" w:right="0" w:firstLine="397"/>
        <w:jc w:val="both"/>
        <w:rPr>
          <w:lang w:val="uk-UA" w:eastAsia="zh-CN"/>
        </w:rPr>
      </w:pPr>
      <w:r>
        <w:rPr>
          <w:lang w:val="uk-UA" w:eastAsia="zh-CN"/>
        </w:rPr>
        <w:t>Ефективності — запровадження даного регуляторного акт</w:t>
      </w:r>
      <w:r>
        <w:rPr>
          <w:rFonts w:eastAsia="NSimSun" w:cs="Lucida Sans"/>
          <w:color w:val="auto"/>
          <w:kern w:val="2"/>
          <w:sz w:val="28"/>
          <w:szCs w:val="24"/>
          <w:lang w:val="uk-UA" w:eastAsia="zh-CN" w:bidi="hi-IN"/>
        </w:rPr>
        <w:t>у</w:t>
      </w:r>
      <w:r>
        <w:rPr>
          <w:lang w:val="uk-UA" w:eastAsia="zh-CN"/>
        </w:rPr>
        <w:t xml:space="preserve"> надасть змогу реалізувати право, відповідно до Закону України “Про місцеве самоврядування в Україні”;</w:t>
      </w:r>
    </w:p>
    <w:p>
      <w:pPr>
        <w:pStyle w:val="Normal"/>
        <w:widowControl/>
        <w:numPr>
          <w:ilvl w:val="0"/>
          <w:numId w:val="5"/>
        </w:numPr>
        <w:suppressAutoHyphens w:val="true"/>
        <w:bidi w:val="0"/>
        <w:spacing w:before="0" w:after="0"/>
        <w:ind w:left="0" w:right="0" w:firstLine="397"/>
        <w:jc w:val="both"/>
        <w:rPr>
          <w:lang w:val="uk-UA" w:eastAsia="zh-CN"/>
        </w:rPr>
      </w:pPr>
      <w:r>
        <w:rPr>
          <w:rFonts w:eastAsia="NSimSun" w:cs="Lucida Sans"/>
          <w:color w:val="auto"/>
          <w:kern w:val="2"/>
          <w:sz w:val="28"/>
          <w:szCs w:val="24"/>
          <w:lang w:val="uk-UA" w:eastAsia="zh-CN" w:bidi="hi-IN"/>
        </w:rPr>
        <w:t>П</w:t>
      </w:r>
      <w:r>
        <w:rPr>
          <w:lang w:val="uk-UA" w:eastAsia="zh-CN"/>
        </w:rPr>
        <w:t>розорості — даний проект регуляторного акта підлягає оприлюдненню на офіці</w:t>
      </w:r>
      <w:r>
        <w:rPr>
          <w:shd w:fill="auto" w:val="clear"/>
          <w:lang w:val="uk-UA" w:eastAsia="zh-CN"/>
        </w:rPr>
        <w:t xml:space="preserve">йному сайті </w:t>
      </w:r>
      <w:r>
        <w:rPr>
          <w:rFonts w:eastAsia="NSimSun" w:cs="Lucida Sans"/>
          <w:color w:val="000000"/>
          <w:kern w:val="2"/>
          <w:sz w:val="28"/>
          <w:szCs w:val="24"/>
          <w:shd w:fill="auto" w:val="clear"/>
          <w:lang w:val="uk-UA" w:eastAsia="zh-CN" w:bidi="hi-IN"/>
        </w:rPr>
        <w:t>Покровської</w:t>
      </w:r>
      <w:r>
        <w:rPr>
          <w:shd w:fill="auto" w:val="clear"/>
          <w:lang w:val="uk-UA" w:eastAsia="zh-CN"/>
        </w:rPr>
        <w:t xml:space="preserve"> міської ради та місцевій друкованій газеті;</w:t>
      </w:r>
    </w:p>
    <w:p>
      <w:pPr>
        <w:pStyle w:val="Normal"/>
        <w:widowControl/>
        <w:numPr>
          <w:ilvl w:val="0"/>
          <w:numId w:val="5"/>
        </w:numPr>
        <w:suppressAutoHyphens w:val="true"/>
        <w:bidi w:val="0"/>
        <w:spacing w:before="0" w:after="0"/>
        <w:ind w:left="0" w:right="0" w:firstLine="397"/>
        <w:jc w:val="both"/>
        <w:rPr>
          <w:lang w:val="uk-UA" w:eastAsia="zh-CN"/>
        </w:rPr>
      </w:pPr>
      <w:r>
        <w:rPr>
          <w:rFonts w:eastAsia="NSimSun" w:cs="Lucida Sans"/>
          <w:color w:val="000000"/>
          <w:kern w:val="2"/>
          <w:sz w:val="28"/>
          <w:szCs w:val="24"/>
          <w:shd w:fill="auto" w:val="clear"/>
          <w:lang w:val="uk-UA" w:eastAsia="zh-CN" w:bidi="hi-IN"/>
        </w:rPr>
        <w:t>В</w:t>
      </w:r>
      <w:r>
        <w:rPr>
          <w:shd w:fill="auto" w:val="clear"/>
          <w:lang w:val="uk-UA" w:eastAsia="zh-CN"/>
        </w:rPr>
        <w:t>рахування громадської думки — протягом місяця з дня опублікування є можливість направляти свої пропозиції та зауваження.</w:t>
      </w:r>
    </w:p>
    <w:p>
      <w:pPr>
        <w:pStyle w:val="Normal"/>
        <w:widowControl/>
        <w:suppressAutoHyphens w:val="true"/>
        <w:bidi w:val="0"/>
        <w:spacing w:before="0" w:after="0"/>
        <w:ind w:left="0" w:right="0" w:hanging="0"/>
        <w:jc w:val="both"/>
        <w:rPr/>
      </w:pPr>
      <w:r>
        <w:rPr>
          <w:lang w:val="uk-UA" w:eastAsia="zh-CN"/>
        </w:rPr>
        <w:tab/>
        <w:t>Запропонований спосіб досягнення цілей є оптимальним шляхом вирішення проблеми й ґрунтується на загальнообов’язковості виконання норм зазначеного рішення учасниками правовідносин у сфері надання послуг з перевезення пасажирів автомобільним транспортом.</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center"/>
        <w:rPr/>
      </w:pPr>
      <w:bookmarkStart w:id="25" w:name="n163"/>
      <w:bookmarkEnd w:id="25"/>
      <w:r>
        <w:rPr>
          <w:b/>
          <w:bCs/>
          <w:lang w:val="uk-UA" w:eastAsia="zh-CN"/>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pPr>
        <w:pStyle w:val="Normal"/>
        <w:widowControl/>
        <w:suppressAutoHyphens w:val="true"/>
        <w:bidi w:val="0"/>
        <w:spacing w:before="0" w:after="0"/>
        <w:ind w:left="0" w:right="0" w:firstLine="397"/>
        <w:jc w:val="center"/>
        <w:rPr>
          <w:b w:val="false"/>
          <w:b w:val="false"/>
          <w:bCs w:val="false"/>
          <w:sz w:val="20"/>
          <w:szCs w:val="24"/>
        </w:rPr>
      </w:pPr>
      <w:r>
        <w:rPr>
          <w:b w:val="false"/>
          <w:bCs w:val="false"/>
          <w:sz w:val="20"/>
          <w:szCs w:val="24"/>
        </w:rPr>
      </w:r>
    </w:p>
    <w:p>
      <w:pPr>
        <w:pStyle w:val="Normal"/>
        <w:widowControl/>
        <w:suppressAutoHyphens w:val="true"/>
        <w:bidi w:val="0"/>
        <w:spacing w:before="0" w:after="0"/>
        <w:ind w:left="0" w:right="0" w:hanging="0"/>
        <w:jc w:val="both"/>
        <w:rPr/>
      </w:pPr>
      <w:r>
        <w:rPr>
          <w:lang w:val="uk-UA" w:eastAsia="zh-CN"/>
        </w:rPr>
        <w:tab/>
        <w:t xml:space="preserve">Прийняття </w:t>
      </w:r>
      <w:r>
        <w:rPr>
          <w:rFonts w:eastAsia="NSimSun" w:cs="Lucida Sans"/>
          <w:color w:val="auto"/>
          <w:kern w:val="2"/>
          <w:sz w:val="28"/>
          <w:szCs w:val="24"/>
          <w:lang w:val="uk-UA" w:eastAsia="zh-CN" w:bidi="hi-IN"/>
        </w:rPr>
        <w:t>даного</w:t>
      </w:r>
      <w:r>
        <w:rPr>
          <w:lang w:val="uk-UA" w:eastAsia="zh-CN"/>
        </w:rPr>
        <w:t xml:space="preserve"> проекту регуляторного акту надасть можливість </w:t>
      </w:r>
      <w:r>
        <w:rPr>
          <w:rFonts w:eastAsia="NSimSun" w:cs="Lucida Sans"/>
          <w:color w:val="auto"/>
          <w:kern w:val="2"/>
          <w:sz w:val="28"/>
          <w:szCs w:val="24"/>
          <w:lang w:val="uk-UA" w:eastAsia="zh-CN" w:bidi="hi-IN"/>
        </w:rPr>
        <w:t xml:space="preserve">встановити </w:t>
      </w:r>
      <w:r>
        <w:rPr>
          <w:lang w:val="uk-UA" w:eastAsia="zh-CN"/>
        </w:rPr>
        <w:t>тариф</w:t>
      </w:r>
      <w:r>
        <w:rPr>
          <w:rFonts w:eastAsia="NSimSun" w:cs="Lucida Sans"/>
          <w:color w:val="auto"/>
          <w:kern w:val="2"/>
          <w:sz w:val="28"/>
          <w:szCs w:val="24"/>
          <w:lang w:val="uk-UA" w:eastAsia="zh-CN" w:bidi="hi-IN"/>
        </w:rPr>
        <w:t>и</w:t>
      </w:r>
      <w:r>
        <w:rPr>
          <w:lang w:val="uk-UA" w:eastAsia="zh-CN"/>
        </w:rPr>
        <w:t xml:space="preserve"> вартості проїзду на міських автобусних маршрутах загального користування у межах Покровської міської територіальної громади, спрямовано на забезпечення всіх верств населення можливістю користуватис</w:t>
      </w:r>
      <w:r>
        <w:rPr>
          <w:rFonts w:eastAsia="NSimSun" w:cs="Lucida Sans"/>
          <w:color w:val="auto"/>
          <w:kern w:val="2"/>
          <w:sz w:val="28"/>
          <w:szCs w:val="24"/>
          <w:lang w:val="uk-UA" w:eastAsia="zh-CN" w:bidi="hi-IN"/>
        </w:rPr>
        <w:t>я</w:t>
      </w:r>
      <w:r>
        <w:rPr>
          <w:lang w:val="uk-UA" w:eastAsia="zh-CN"/>
        </w:rPr>
        <w:t xml:space="preserve"> послугами пасажирських перевезень, автомобільним громадським транспортом в належн</w:t>
      </w:r>
      <w:r>
        <w:rPr>
          <w:rFonts w:eastAsia="NSimSun" w:cs="Lucida Sans"/>
          <w:color w:val="auto"/>
          <w:kern w:val="2"/>
          <w:sz w:val="28"/>
          <w:szCs w:val="24"/>
          <w:lang w:val="uk-UA" w:eastAsia="zh-CN" w:bidi="hi-IN"/>
        </w:rPr>
        <w:t>ій</w:t>
      </w:r>
      <w:r>
        <w:rPr>
          <w:lang w:val="uk-UA" w:eastAsia="zh-CN"/>
        </w:rPr>
        <w:t xml:space="preserve"> якості.</w:t>
      </w:r>
    </w:p>
    <w:p>
      <w:pPr>
        <w:pStyle w:val="Normal"/>
        <w:widowControl/>
        <w:suppressAutoHyphens w:val="true"/>
        <w:bidi w:val="0"/>
        <w:spacing w:before="0" w:after="0"/>
        <w:ind w:left="0" w:right="0" w:hanging="0"/>
        <w:jc w:val="both"/>
        <w:rPr/>
      </w:pPr>
      <w:r>
        <w:rPr>
          <w:lang w:val="uk-UA" w:eastAsia="zh-CN"/>
        </w:rPr>
        <w:tab/>
        <w:t>Враховуючи, що встановлення тарифів здійснюється шляхом публічного обговорення, то тарифи встановлюватимуться з урахуванням інтересів усіх зацікавлених сторін. На дію регуляторного акта можуть вплинути такі економічні зовнішні фактори як: підвищення вартості матеріальних ресурсів, паливно-мастильних матеріалів, розміру мінімальної заробітної плати тощо, при яких тариф на послуги з перевезення пасажирів на автобусних маршрутах загального користування може бути переглянутий.</w:t>
      </w:r>
    </w:p>
    <w:p>
      <w:pPr>
        <w:pStyle w:val="Normal"/>
        <w:widowControl/>
        <w:suppressAutoHyphens w:val="true"/>
        <w:bidi w:val="0"/>
        <w:spacing w:before="0" w:after="0"/>
        <w:ind w:left="0" w:right="0" w:hanging="0"/>
        <w:jc w:val="both"/>
        <w:rPr/>
      </w:pPr>
      <w:r>
        <w:rPr>
          <w:lang w:val="uk-UA" w:eastAsia="zh-CN"/>
        </w:rPr>
        <w:tab/>
        <w:t>Проект рішення не містить дискримінаційних або таких, що обмежують конкуренцію норм. У разі прийняття регулято</w:t>
      </w:r>
      <w:r>
        <w:rPr>
          <w:shd w:fill="auto" w:val="clear"/>
          <w:lang w:val="uk-UA" w:eastAsia="zh-CN"/>
        </w:rPr>
        <w:t xml:space="preserve">рного акта </w:t>
      </w:r>
      <w:r>
        <w:rPr>
          <w:shd w:fill="auto" w:val="clear"/>
          <w:lang w:val="uk-UA" w:eastAsia="zh-CN" w:bidi="hi-IN"/>
        </w:rPr>
        <w:t>Покровсь</w:t>
      </w:r>
      <w:r>
        <w:rPr>
          <w:shd w:fill="auto" w:val="clear"/>
          <w:lang w:val="uk-UA" w:eastAsia="zh-CN"/>
        </w:rPr>
        <w:t>кою міською радою будуть реалізовані повноваження, надані статтею 30 Закону України “Про місцеве самоврядування в Україні”, а встановлений тариф на послуги з перевезення пасажирів надасть можливість підприємствам-перевізникам забезпечити безперебійні та безпечні пасажирські пе</w:t>
      </w:r>
      <w:r>
        <w:rPr>
          <w:lang w:val="uk-UA" w:eastAsia="zh-CN"/>
        </w:rPr>
        <w:t>ревезення.</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 xml:space="preserve">На дію даного регуляторного акта негативно можуть вплинути економічна криза та значні темпи інфляції, що погіршить фінансову стабільність суб’єктів господарювання, які надають відповідні послуги, призведе до ще більшого зростання вартості пального, запчастин, шин, акумуляторів. Відповідно даний тариф знову стане економічно необґрунтованим. </w:t>
      </w:r>
    </w:p>
    <w:p>
      <w:pPr>
        <w:pStyle w:val="Normal"/>
        <w:widowControl/>
        <w:suppressAutoHyphens w:val="true"/>
        <w:bidi w:val="0"/>
        <w:spacing w:before="0" w:after="0"/>
        <w:ind w:left="0" w:right="0" w:hanging="0"/>
        <w:jc w:val="left"/>
        <w:rPr>
          <w:lang w:val="uk-UA" w:eastAsia="zh-CN"/>
        </w:rPr>
      </w:pPr>
      <w:r>
        <w:rPr>
          <w:lang w:val="uk-UA" w:eastAsia="zh-CN"/>
        </w:rPr>
      </w:r>
    </w:p>
    <w:p>
      <w:pPr>
        <w:pStyle w:val="Normal"/>
        <w:widowControl/>
        <w:suppressAutoHyphens w:val="true"/>
        <w:bidi w:val="0"/>
        <w:spacing w:before="0" w:after="0"/>
        <w:ind w:left="0" w:right="0" w:hanging="0"/>
        <w:jc w:val="center"/>
        <w:rPr/>
      </w:pPr>
      <w:r>
        <w:rPr>
          <w:b/>
          <w:bCs/>
          <w:lang w:val="uk-UA" w:eastAsia="zh-CN"/>
        </w:rPr>
        <w:t>Бюджетні витрати на адміністрування</w:t>
      </w:r>
    </w:p>
    <w:p>
      <w:pPr>
        <w:pStyle w:val="Normal"/>
        <w:widowControl/>
        <w:suppressAutoHyphens w:val="true"/>
        <w:bidi w:val="0"/>
        <w:spacing w:before="0" w:after="0"/>
        <w:ind w:left="0" w:right="0" w:hanging="0"/>
        <w:jc w:val="both"/>
        <w:rPr>
          <w:b w:val="false"/>
          <w:b w:val="false"/>
          <w:bCs w:val="false"/>
        </w:rPr>
      </w:pPr>
      <w:r>
        <w:rPr>
          <w:b w:val="false"/>
          <w:bCs w:val="false"/>
          <w:lang w:val="uk-UA" w:eastAsia="zh-CN"/>
        </w:rPr>
        <w:t>Заробітна плата розробника регуляторного акту за одну годину становить 37,50 грн.</w:t>
      </w:r>
    </w:p>
    <w:p>
      <w:pPr>
        <w:pStyle w:val="Normal"/>
        <w:widowControl/>
        <w:suppressAutoHyphens w:val="true"/>
        <w:bidi w:val="0"/>
        <w:spacing w:before="0" w:after="0"/>
        <w:ind w:left="0" w:right="0" w:hanging="0"/>
        <w:jc w:val="both"/>
        <w:rPr>
          <w:lang w:val="uk-UA" w:eastAsia="zh-CN"/>
        </w:rPr>
      </w:pPr>
      <w:r>
        <w:rPr>
          <w:lang w:val="uk-UA" w:eastAsia="zh-CN"/>
        </w:rPr>
      </w:r>
    </w:p>
    <w:tbl>
      <w:tblPr>
        <w:tblStyle w:val="a3"/>
        <w:tblW w:w="9868" w:type="dxa"/>
        <w:jc w:val="left"/>
        <w:tblInd w:w="10"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right w:w="108" w:type="dxa"/>
        </w:tblCellMar>
        <w:tblLook w:val="04a0"/>
      </w:tblPr>
      <w:tblGrid>
        <w:gridCol w:w="2217"/>
        <w:gridCol w:w="1416"/>
        <w:gridCol w:w="1916"/>
        <w:gridCol w:w="1367"/>
        <w:gridCol w:w="1"/>
        <w:gridCol w:w="1465"/>
        <w:gridCol w:w="1"/>
        <w:gridCol w:w="1484"/>
      </w:tblGrid>
      <w:tr>
        <w:trPr/>
        <w:tc>
          <w:tcPr>
            <w:tcW w:w="221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Процедура регулювання суб’єктів малого й мікро підприємництва</w:t>
            </w:r>
          </w:p>
          <w:p>
            <w:pPr>
              <w:pStyle w:val="Normal"/>
              <w:widowControl/>
              <w:spacing w:lineRule="auto" w:line="240" w:before="0" w:after="0"/>
              <w:jc w:val="center"/>
              <w:rPr>
                <w:rFonts w:ascii="Times New Roman" w:hAnsi="Times New Roman" w:eastAsia="Times New Roman" w:cs="Times New Roman"/>
                <w:kern w:val="0"/>
                <w:sz w:val="28"/>
                <w:szCs w:val="28"/>
                <w:lang w:eastAsia="en-US" w:bidi="ar-SA"/>
              </w:rPr>
            </w:pPr>
            <w:r>
              <w:rPr>
                <w:rFonts w:eastAsia="Times New Roman" w:cs="Times New Roman"/>
                <w:kern w:val="0"/>
                <w:sz w:val="28"/>
                <w:szCs w:val="28"/>
                <w:lang w:eastAsia="en-US" w:bidi="ar-SA"/>
              </w:rPr>
            </w:r>
          </w:p>
          <w:p>
            <w:pPr>
              <w:pStyle w:val="Normal"/>
              <w:widowControl/>
              <w:spacing w:lineRule="auto" w:line="240" w:before="0" w:after="0"/>
              <w:jc w:val="center"/>
              <w:rPr>
                <w:rFonts w:ascii="Times New Roman" w:hAnsi="Times New Roman" w:eastAsia="Times New Roman" w:cs="Times New Roman"/>
                <w:color w:val="000000" w:themeColor="text1"/>
                <w:kern w:val="0"/>
                <w:sz w:val="28"/>
                <w:szCs w:val="28"/>
                <w:lang w:val="ru-RU" w:eastAsia="en-US" w:bidi="ar-SA"/>
              </w:rPr>
            </w:pPr>
            <w:r>
              <w:rPr>
                <w:rFonts w:eastAsia="Times New Roman" w:cs="Times New Roman"/>
                <w:color w:val="000000" w:themeColor="text1"/>
                <w:kern w:val="0"/>
                <w:sz w:val="28"/>
                <w:szCs w:val="28"/>
                <w:lang w:val="ru-RU" w:eastAsia="en-US" w:bidi="ar-SA"/>
              </w:rPr>
            </w:r>
          </w:p>
          <w:p>
            <w:pPr>
              <w:pStyle w:val="Normal"/>
              <w:widowControl/>
              <w:spacing w:lineRule="auto" w:line="240" w:before="0" w:after="0"/>
              <w:jc w:val="center"/>
              <w:rPr>
                <w:rFonts w:ascii="Times New Roman" w:hAnsi="Times New Roman" w:eastAsia="Times New Roman" w:cs="Times New Roman"/>
                <w:color w:val="000000" w:themeColor="text1"/>
                <w:kern w:val="0"/>
                <w:sz w:val="28"/>
                <w:szCs w:val="28"/>
                <w:lang w:val="ru-RU" w:eastAsia="en-US" w:bidi="ar-SA"/>
              </w:rPr>
            </w:pPr>
            <w:r>
              <w:rPr>
                <w:rFonts w:eastAsia="Times New Roman" w:cs="Times New Roman"/>
                <w:color w:val="000000" w:themeColor="text1"/>
                <w:kern w:val="0"/>
                <w:sz w:val="28"/>
                <w:szCs w:val="28"/>
                <w:lang w:val="ru-RU" w:eastAsia="en-US" w:bidi="ar-SA"/>
              </w:rPr>
            </w:r>
          </w:p>
        </w:tc>
        <w:tc>
          <w:tcPr>
            <w:tcW w:w="141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Планові витрати часу на пр</w:t>
            </w:r>
            <w:r>
              <w:rPr>
                <w:rFonts w:eastAsia="Times New Roman" w:cs="Times New Roman"/>
                <w:spacing w:val="-30"/>
                <w:kern w:val="0"/>
                <w:sz w:val="28"/>
                <w:szCs w:val="28"/>
                <w:lang w:eastAsia="ru-RU" w:bidi="ar-SA"/>
              </w:rPr>
              <w:t>оцед</w:t>
            </w:r>
            <w:r>
              <w:rPr>
                <w:rFonts w:eastAsia="Times New Roman" w:cs="Times New Roman"/>
                <w:kern w:val="0"/>
                <w:sz w:val="28"/>
                <w:szCs w:val="28"/>
                <w:lang w:eastAsia="ru-RU" w:bidi="ar-SA"/>
              </w:rPr>
              <w:t>уру(години)</w:t>
            </w:r>
          </w:p>
        </w:tc>
        <w:tc>
          <w:tcPr>
            <w:tcW w:w="191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Вартість часу співробітника органу державної влади відповідної категорії (заробітна плата) грн./година)</w:t>
            </w:r>
          </w:p>
        </w:tc>
        <w:tc>
          <w:tcPr>
            <w:tcW w:w="13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Оцінка кількості процедур за рік</w:t>
            </w:r>
          </w:p>
        </w:tc>
        <w:tc>
          <w:tcPr>
            <w:tcW w:w="1466"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 xml:space="preserve">Витрати на </w:t>
            </w:r>
            <w:r>
              <w:rPr>
                <w:rFonts w:eastAsia="Times New Roman" w:cs="Times New Roman"/>
                <w:spacing w:val="0"/>
                <w:kern w:val="0"/>
                <w:sz w:val="28"/>
                <w:szCs w:val="28"/>
                <w:lang w:eastAsia="ru-RU" w:bidi="ar-SA"/>
              </w:rPr>
              <w:t>адміні-стрування</w:t>
            </w:r>
            <w:r>
              <w:rPr>
                <w:rFonts w:eastAsia="Times New Roman" w:cs="Times New Roman"/>
                <w:kern w:val="0"/>
                <w:sz w:val="28"/>
                <w:szCs w:val="28"/>
                <w:lang w:eastAsia="ru-RU" w:bidi="ar-SA"/>
              </w:rPr>
              <w:t xml:space="preserve"> регулю-вання </w:t>
            </w:r>
          </w:p>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(за рік) грн</w:t>
            </w:r>
          </w:p>
        </w:tc>
        <w:tc>
          <w:tcPr>
            <w:tcW w:w="1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 xml:space="preserve">Витрати на адміні-стрування регулю-вання </w:t>
            </w:r>
          </w:p>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(за 2 роки) грн</w:t>
            </w:r>
          </w:p>
        </w:tc>
      </w:tr>
      <w:tr>
        <w:trPr/>
        <w:tc>
          <w:tcPr>
            <w:tcW w:w="221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left"/>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spacing w:lineRule="auto" w:line="240" w:before="0" w:after="0"/>
              <w:jc w:val="left"/>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 xml:space="preserve">Підготовка, організація обговорення та надання на затвердження  </w:t>
            </w:r>
            <w:r>
              <w:rPr>
                <w:rFonts w:eastAsia="Times New Roman" w:cs="Times New Roman"/>
                <w:kern w:val="0"/>
                <w:sz w:val="28"/>
                <w:szCs w:val="28"/>
                <w:lang w:val="uk-UA" w:eastAsia="ru-RU" w:bidi="ar-SA"/>
              </w:rPr>
              <w:t>Покровської</w:t>
            </w:r>
            <w:r>
              <w:rPr>
                <w:rFonts w:eastAsia="Times New Roman" w:cs="Times New Roman"/>
                <w:kern w:val="0"/>
                <w:sz w:val="28"/>
                <w:szCs w:val="28"/>
                <w:lang w:eastAsia="ru-RU" w:bidi="ar-SA"/>
              </w:rPr>
              <w:t xml:space="preserve"> міської ради проекту регуляторного акта</w:t>
            </w:r>
          </w:p>
        </w:tc>
        <w:tc>
          <w:tcPr>
            <w:tcW w:w="1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70</w:t>
            </w:r>
          </w:p>
        </w:tc>
        <w:tc>
          <w:tcPr>
            <w:tcW w:w="19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kern w:val="0"/>
                <w:sz w:val="28"/>
                <w:szCs w:val="28"/>
                <w:lang w:val="uk-UA" w:eastAsia="ru-RU" w:bidi="ar-SA"/>
              </w:rPr>
            </w:pPr>
            <w:r>
              <w:rPr>
                <w:rFonts w:eastAsia="Times New Roman" w:cs="Times New Roman"/>
                <w:kern w:val="0"/>
                <w:sz w:val="28"/>
                <w:szCs w:val="28"/>
                <w:lang w:val="uk-UA" w:eastAsia="ru-RU" w:bidi="ar-SA"/>
              </w:rPr>
              <w:t>37,5</w:t>
            </w:r>
          </w:p>
        </w:tc>
        <w:tc>
          <w:tcPr>
            <w:tcW w:w="13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kern w:val="0"/>
                <w:sz w:val="28"/>
                <w:szCs w:val="28"/>
                <w:lang w:eastAsia="ru-RU" w:bidi="ar-SA"/>
              </w:rPr>
              <w:t>1</w:t>
            </w:r>
          </w:p>
        </w:tc>
        <w:tc>
          <w:tcPr>
            <w:tcW w:w="1466"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kern w:val="0"/>
                <w:sz w:val="28"/>
                <w:szCs w:val="28"/>
                <w:lang w:val="uk-UA" w:eastAsia="ru-RU" w:bidi="ar-SA"/>
              </w:rPr>
              <w:t>2625</w:t>
            </w:r>
            <w:r>
              <w:rPr>
                <w:rFonts w:eastAsia="Times New Roman" w:cs="Times New Roman"/>
                <w:kern w:val="0"/>
                <w:sz w:val="28"/>
                <w:szCs w:val="28"/>
                <w:lang w:val="ru-RU" w:eastAsia="ru-RU" w:bidi="ar-SA"/>
              </w:rPr>
              <w:t>,00</w:t>
            </w:r>
          </w:p>
        </w:tc>
        <w:tc>
          <w:tcPr>
            <w:tcW w:w="1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kern w:val="0"/>
                <w:sz w:val="28"/>
                <w:szCs w:val="28"/>
                <w:lang w:val="uk-UA" w:eastAsia="ru-RU" w:bidi="ar-SA"/>
              </w:rPr>
              <w:t>5250</w:t>
            </w:r>
            <w:r>
              <w:rPr>
                <w:rFonts w:eastAsia="Times New Roman" w:cs="Times New Roman"/>
                <w:kern w:val="0"/>
                <w:sz w:val="28"/>
                <w:szCs w:val="28"/>
                <w:lang w:val="ru-RU" w:eastAsia="ru-RU" w:bidi="ar-SA"/>
              </w:rPr>
              <w:t>,0</w:t>
            </w:r>
          </w:p>
        </w:tc>
      </w:tr>
      <w:tr>
        <w:trPr/>
        <w:tc>
          <w:tcPr>
            <w:tcW w:w="221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left"/>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r>
          </w:p>
          <w:p>
            <w:pPr>
              <w:pStyle w:val="Normal"/>
              <w:widowControl/>
              <w:spacing w:lineRule="auto" w:line="240" w:before="0" w:after="0"/>
              <w:jc w:val="left"/>
              <w:rPr>
                <w:rFonts w:ascii="Times New Roman" w:hAnsi="Times New Roman" w:eastAsia="Times New Roman" w:cs="Times New Roman"/>
                <w:kern w:val="0"/>
                <w:sz w:val="28"/>
                <w:szCs w:val="28"/>
                <w:lang w:eastAsia="ru-RU" w:bidi="ar-SA"/>
              </w:rPr>
            </w:pPr>
            <w:r>
              <w:rPr>
                <w:rFonts w:eastAsia="Times New Roman" w:cs="Times New Roman"/>
                <w:kern w:val="0"/>
                <w:sz w:val="28"/>
                <w:szCs w:val="28"/>
                <w:lang w:eastAsia="ru-RU" w:bidi="ar-SA"/>
              </w:rPr>
              <w:t>Проведення процедур з перевірки результативності дії регуляторного акта</w:t>
            </w:r>
          </w:p>
        </w:tc>
        <w:tc>
          <w:tcPr>
            <w:tcW w:w="1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kern w:val="0"/>
                <w:sz w:val="28"/>
                <w:szCs w:val="28"/>
                <w:lang w:eastAsia="ru-RU" w:bidi="ar-SA"/>
              </w:rPr>
              <w:t>20</w:t>
            </w:r>
          </w:p>
        </w:tc>
        <w:tc>
          <w:tcPr>
            <w:tcW w:w="19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kern w:val="0"/>
                <w:sz w:val="28"/>
                <w:szCs w:val="28"/>
                <w:lang w:val="uk-UA" w:eastAsia="ru-RU" w:bidi="ar-SA"/>
              </w:rPr>
            </w:pPr>
            <w:r>
              <w:rPr>
                <w:rFonts w:eastAsia="Times New Roman" w:cs="Times New Roman"/>
                <w:kern w:val="0"/>
                <w:sz w:val="28"/>
                <w:szCs w:val="28"/>
                <w:lang w:val="uk-UA" w:eastAsia="ru-RU" w:bidi="ar-SA"/>
              </w:rPr>
              <w:t>37,5</w:t>
            </w:r>
          </w:p>
        </w:tc>
        <w:tc>
          <w:tcPr>
            <w:tcW w:w="13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kern w:val="0"/>
                <w:sz w:val="28"/>
                <w:szCs w:val="28"/>
                <w:lang w:eastAsia="ru-RU" w:bidi="ar-SA"/>
              </w:rPr>
              <w:t>1</w:t>
            </w:r>
          </w:p>
        </w:tc>
        <w:tc>
          <w:tcPr>
            <w:tcW w:w="1466"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kern w:val="0"/>
                <w:sz w:val="28"/>
                <w:szCs w:val="28"/>
                <w:lang w:val="uk-UA" w:eastAsia="ru-RU" w:bidi="ar-SA"/>
              </w:rPr>
              <w:t>750</w:t>
            </w:r>
            <w:r>
              <w:rPr>
                <w:rFonts w:eastAsia="Times New Roman" w:cs="Times New Roman"/>
                <w:kern w:val="0"/>
                <w:sz w:val="28"/>
                <w:szCs w:val="28"/>
                <w:lang w:val="ru-RU" w:eastAsia="ru-RU" w:bidi="ar-SA"/>
              </w:rPr>
              <w:t>,00</w:t>
            </w:r>
          </w:p>
        </w:tc>
        <w:tc>
          <w:tcPr>
            <w:tcW w:w="1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kern w:val="0"/>
                <w:sz w:val="28"/>
                <w:szCs w:val="28"/>
                <w:lang w:val="uk-UA" w:eastAsia="ru-RU" w:bidi="ar-SA"/>
              </w:rPr>
              <w:t>1500</w:t>
            </w:r>
            <w:r>
              <w:rPr>
                <w:rFonts w:eastAsia="Times New Roman" w:cs="Times New Roman"/>
                <w:kern w:val="0"/>
                <w:sz w:val="28"/>
                <w:szCs w:val="28"/>
                <w:lang w:val="ru-RU" w:eastAsia="ru-RU" w:bidi="ar-SA"/>
              </w:rPr>
              <w:t>,0</w:t>
            </w:r>
          </w:p>
        </w:tc>
      </w:tr>
      <w:tr>
        <w:trPr/>
        <w:tc>
          <w:tcPr>
            <w:tcW w:w="6917" w:type="dxa"/>
            <w:gridSpan w:val="5"/>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kern w:val="0"/>
                <w:sz w:val="28"/>
                <w:szCs w:val="28"/>
                <w:lang w:eastAsia="ru-RU" w:bidi="ar-SA"/>
              </w:rPr>
              <w:t>Разом за рік*</w:t>
            </w:r>
          </w:p>
        </w:tc>
        <w:tc>
          <w:tcPr>
            <w:tcW w:w="1466" w:type="dxa"/>
            <w:gridSpan w:val="2"/>
            <w:tcBorders>
              <w:top w:val="single" w:sz="4" w:space="0" w:color="000000"/>
              <w:left w:val="single" w:sz="4" w:space="0" w:color="000000"/>
              <w:bottom w:val="single" w:sz="4" w:space="0" w:color="000000"/>
              <w:insideH w:val="single" w:sz="4" w:space="0" w:color="000000"/>
            </w:tcBorders>
            <w:shd w:fill="auto" w:val="clear"/>
            <w:vAlign w:val="bottom"/>
          </w:tcPr>
          <w:p>
            <w:pPr>
              <w:pStyle w:val="Normal"/>
              <w:widowControl/>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kern w:val="0"/>
                <w:sz w:val="28"/>
                <w:szCs w:val="28"/>
                <w:lang w:val="uk-UA" w:eastAsia="ru-RU" w:bidi="ar-SA"/>
              </w:rPr>
              <w:t>3375</w:t>
            </w:r>
            <w:r>
              <w:rPr>
                <w:rFonts w:eastAsia="Times New Roman" w:cs="Times New Roman"/>
                <w:kern w:val="0"/>
                <w:sz w:val="28"/>
                <w:szCs w:val="28"/>
                <w:lang w:val="ru-RU" w:eastAsia="ru-RU" w:bidi="ar-SA"/>
              </w:rPr>
              <w:t xml:space="preserve">,00 </w:t>
            </w:r>
          </w:p>
        </w:tc>
        <w:tc>
          <w:tcPr>
            <w:tcW w:w="1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kern w:val="0"/>
                <w:sz w:val="28"/>
                <w:szCs w:val="28"/>
                <w:lang w:val="uk-UA" w:eastAsia="ru-RU" w:bidi="ar-SA"/>
              </w:rPr>
              <w:t>6750</w:t>
            </w:r>
            <w:r>
              <w:rPr>
                <w:rFonts w:eastAsia="Times New Roman" w:cs="Times New Roman"/>
                <w:kern w:val="0"/>
                <w:sz w:val="28"/>
                <w:szCs w:val="28"/>
                <w:lang w:val="ru-RU" w:eastAsia="ru-RU" w:bidi="ar-SA"/>
              </w:rPr>
              <w:t>,00</w:t>
            </w:r>
          </w:p>
        </w:tc>
      </w:tr>
      <w:tr>
        <w:trPr/>
        <w:tc>
          <w:tcPr>
            <w:tcW w:w="8382" w:type="dxa"/>
            <w:gridSpan w:val="6"/>
            <w:tcBorders>
              <w:top w:val="single" w:sz="4" w:space="0" w:color="000000"/>
              <w:left w:val="single" w:sz="4" w:space="0" w:color="000000"/>
              <w:bottom w:val="single" w:sz="4" w:space="0" w:color="000000"/>
              <w:insideH w:val="single" w:sz="4" w:space="0" w:color="000000"/>
            </w:tcBorders>
            <w:shd w:fill="auto" w:val="clear"/>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kern w:val="0"/>
                <w:sz w:val="28"/>
                <w:szCs w:val="28"/>
                <w:lang w:eastAsia="ru-RU" w:bidi="ar-S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процедур за рік.</w:t>
            </w:r>
          </w:p>
        </w:tc>
        <w:tc>
          <w:tcPr>
            <w:tcW w:w="14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bl>
    <w:p>
      <w:pPr>
        <w:pStyle w:val="Normal"/>
        <w:widowControl/>
        <w:suppressAutoHyphens w:val="true"/>
        <w:bidi w:val="0"/>
        <w:spacing w:before="0" w:after="0"/>
        <w:ind w:left="0" w:right="0" w:firstLine="397"/>
        <w:jc w:val="left"/>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454"/>
        <w:jc w:val="left"/>
        <w:rPr>
          <w:b w:val="false"/>
          <w:b w:val="false"/>
          <w:bCs w:val="false"/>
        </w:rPr>
      </w:pPr>
      <w:r>
        <w:rPr>
          <w:b w:val="false"/>
          <w:bCs w:val="false"/>
          <w:lang w:val="uk-UA" w:eastAsia="zh-CN"/>
        </w:rPr>
        <w:t>Виконання вимог даного рішення не потребує додаткових витрат з боку органів місцевого самоврядування.</w:t>
      </w:r>
    </w:p>
    <w:p>
      <w:pPr>
        <w:pStyle w:val="Normal"/>
        <w:widowControl/>
        <w:suppressAutoHyphens w:val="true"/>
        <w:bidi w:val="0"/>
        <w:spacing w:before="0" w:after="0"/>
        <w:ind w:left="0" w:right="0" w:firstLine="454"/>
        <w:jc w:val="left"/>
        <w:rPr>
          <w:b w:val="false"/>
          <w:b w:val="false"/>
          <w:bCs w:val="false"/>
        </w:rPr>
      </w:pPr>
      <w:r>
        <w:rPr>
          <w:b w:val="false"/>
          <w:bCs w:val="false"/>
          <w:lang w:val="uk-UA" w:eastAsia="zh-CN"/>
        </w:rPr>
        <w:t>Витрати для субєктів господарювання, які виникають в наслідок дії регуляторного акту (М-Тест додається).</w:t>
      </w:r>
    </w:p>
    <w:p>
      <w:pPr>
        <w:pStyle w:val="Normal"/>
        <w:widowControl/>
        <w:suppressAutoHyphens w:val="true"/>
        <w:bidi w:val="0"/>
        <w:spacing w:before="0" w:after="0"/>
        <w:ind w:left="0" w:right="0" w:firstLine="397"/>
        <w:jc w:val="center"/>
        <w:rPr>
          <w:b/>
          <w:b/>
          <w:bCs/>
          <w:lang w:val="uk-UA" w:eastAsia="zh-CN"/>
        </w:rPr>
      </w:pPr>
      <w:r>
        <w:rPr>
          <w:b/>
          <w:bCs/>
          <w:lang w:val="uk-UA" w:eastAsia="zh-CN"/>
        </w:rPr>
      </w:r>
    </w:p>
    <w:p>
      <w:pPr>
        <w:pStyle w:val="Normal"/>
        <w:widowControl/>
        <w:suppressAutoHyphens w:val="true"/>
        <w:bidi w:val="0"/>
        <w:spacing w:before="0" w:after="0"/>
        <w:ind w:left="0" w:right="0" w:firstLine="397"/>
        <w:jc w:val="center"/>
        <w:rPr/>
      </w:pPr>
      <w:r>
        <w:rPr>
          <w:b/>
          <w:bCs/>
          <w:lang w:val="uk-UA" w:eastAsia="zh-CN"/>
        </w:rPr>
        <w:t>VII. Обґрунтування запропонованого строку дії регуляторного акту</w:t>
      </w:r>
    </w:p>
    <w:p>
      <w:pPr>
        <w:pStyle w:val="Normal"/>
        <w:spacing w:lineRule="auto" w:line="240"/>
        <w:ind w:hanging="0"/>
        <w:jc w:val="both"/>
        <w:rPr/>
      </w:pPr>
      <w:r>
        <w:rPr>
          <w:rFonts w:eastAsia="Times New Roman" w:cs="Times New Roman"/>
          <w:sz w:val="28"/>
          <w:szCs w:val="28"/>
          <w:lang w:eastAsia="ru-RU"/>
        </w:rPr>
        <w:tab/>
        <w:t>Орієнтовний термін дії регуляторного акту становить 2 роки, проте можливий вплив зовнішніх чинників, а саме, внесення змін до законодавчих і нормативно – правових актів, у зв’язку зі зміною умов виробничої діяльності та реалізації послуг, що не залежать від господарської діяльності перевізника, у тому числі в разі зміни вартості пального більш ніж на 10%. У такому разі регуляторний акт буде переглянуто із внесенням до нього відповідних змін або його скасуванням.</w:t>
      </w:r>
    </w:p>
    <w:p>
      <w:pPr>
        <w:pStyle w:val="Normal"/>
        <w:spacing w:lineRule="auto" w:line="240"/>
        <w:ind w:hanging="0"/>
        <w:jc w:val="both"/>
        <w:rPr/>
      </w:pPr>
      <w:r>
        <w:rPr>
          <w:rFonts w:eastAsia="Times New Roman" w:cs="Times New Roman"/>
          <w:sz w:val="28"/>
          <w:szCs w:val="28"/>
          <w:lang w:eastAsia="ru-RU"/>
        </w:rPr>
        <w:tab/>
        <w:t>Відповідно до ч. 5 ст.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в друкованих засобах масової інформації.</w:t>
      </w:r>
    </w:p>
    <w:p>
      <w:pPr>
        <w:pStyle w:val="Normal"/>
        <w:widowControl/>
        <w:suppressAutoHyphens w:val="true"/>
        <w:bidi w:val="0"/>
        <w:spacing w:lineRule="auto" w:line="240" w:before="0" w:after="0"/>
        <w:ind w:hanging="0"/>
        <w:jc w:val="both"/>
        <w:rPr/>
      </w:pPr>
      <w:r>
        <w:rPr>
          <w:rFonts w:eastAsia="Times New Roman" w:cs="Times New Roman"/>
          <w:b w:val="false"/>
          <w:bCs w:val="false"/>
          <w:sz w:val="28"/>
          <w:szCs w:val="28"/>
          <w:lang w:val="uk-UA" w:eastAsia="ru-RU"/>
        </w:rPr>
        <w:tab/>
        <w:t xml:space="preserve">Таким чином, рівень поінформованості суб'єктів господарювання (перевізників) та громадян міста з основних положень акта очікується на рівні 100% за рахунок </w:t>
      </w:r>
      <w:r>
        <w:rPr>
          <w:rFonts w:eastAsia="Times New Roman" w:cs="Times New Roman"/>
          <w:b w:val="false"/>
          <w:bCs w:val="false"/>
          <w:color w:val="000000" w:themeColor="text1"/>
          <w:sz w:val="28"/>
          <w:szCs w:val="28"/>
          <w:lang w:val="uk-UA" w:eastAsia="ru-RU"/>
        </w:rPr>
        <w:t xml:space="preserve">оприлюднення регуляторного акта в мережі Інтернет на офіційному веб-сайті Покровської міської ради </w:t>
      </w:r>
      <w:r>
        <w:rPr>
          <w:rFonts w:cs="Times New Roman"/>
          <w:b w:val="false"/>
          <w:bCs w:val="false"/>
          <w:sz w:val="28"/>
          <w:szCs w:val="28"/>
          <w:lang w:val="uk-UA" w:eastAsia="zh-CN"/>
        </w:rPr>
        <w:t>(</w:t>
      </w:r>
      <w:r>
        <w:rPr>
          <w:rStyle w:val="Style18"/>
          <w:rFonts w:cs="Times New Roman"/>
          <w:b w:val="false"/>
          <w:bCs w:val="false"/>
          <w:sz w:val="28"/>
          <w:szCs w:val="28"/>
          <w:lang w:val="uk-UA" w:eastAsia="zh-CN"/>
        </w:rPr>
        <w:t>https://pkrv.dp.gov.ua/</w:t>
      </w:r>
      <w:r>
        <w:rPr>
          <w:rFonts w:cs="Times New Roman"/>
          <w:b w:val="false"/>
          <w:bCs w:val="false"/>
          <w:sz w:val="28"/>
          <w:szCs w:val="28"/>
          <w:lang w:val="uk-UA" w:eastAsia="zh-CN"/>
        </w:rPr>
        <w:t xml:space="preserve">) </w:t>
      </w:r>
      <w:r>
        <w:rPr>
          <w:rFonts w:eastAsia="Times New Roman" w:cs="Times New Roman"/>
          <w:b w:val="false"/>
          <w:bCs w:val="false"/>
          <w:color w:val="000000" w:themeColor="text1"/>
          <w:sz w:val="28"/>
          <w:szCs w:val="28"/>
          <w:lang w:val="uk-UA" w:eastAsia="ru-RU"/>
        </w:rPr>
        <w:t>та у засобах масової інформації.</w:t>
      </w:r>
    </w:p>
    <w:p>
      <w:pPr>
        <w:pStyle w:val="Normal"/>
        <w:widowControl/>
        <w:suppressAutoHyphens w:val="true"/>
        <w:bidi w:val="0"/>
        <w:spacing w:before="0" w:after="0"/>
        <w:ind w:left="0" w:right="0" w:firstLine="397"/>
        <w:jc w:val="both"/>
        <w:rPr>
          <w:b w:val="false"/>
          <w:b w:val="false"/>
          <w:bCs w:val="false"/>
          <w:sz w:val="20"/>
          <w:szCs w:val="24"/>
          <w:lang w:val="uk-UA" w:eastAsia="zh-CN"/>
        </w:rPr>
      </w:pPr>
      <w:r>
        <w:rPr>
          <w:b w:val="false"/>
          <w:bCs w:val="false"/>
          <w:sz w:val="20"/>
          <w:szCs w:val="24"/>
          <w:lang w:val="uk-UA" w:eastAsia="zh-CN"/>
        </w:rPr>
      </w:r>
    </w:p>
    <w:p>
      <w:pPr>
        <w:pStyle w:val="Normal"/>
        <w:widowControl/>
        <w:suppressAutoHyphens w:val="true"/>
        <w:bidi w:val="0"/>
        <w:spacing w:before="0" w:after="0"/>
        <w:ind w:left="0" w:right="0" w:firstLine="397"/>
        <w:jc w:val="center"/>
        <w:rPr/>
      </w:pPr>
      <w:bookmarkStart w:id="26" w:name="n168"/>
      <w:bookmarkEnd w:id="26"/>
      <w:r>
        <w:rPr>
          <w:b/>
          <w:bCs/>
          <w:lang w:val="uk-UA" w:eastAsia="zh-CN"/>
        </w:rPr>
        <w:t>VIII. Визначення показників результативності дії регуляторного акту</w:t>
      </w:r>
    </w:p>
    <w:p>
      <w:pPr>
        <w:pStyle w:val="Normal"/>
        <w:spacing w:lineRule="auto" w:line="240" w:before="0" w:after="0"/>
        <w:jc w:val="both"/>
        <w:rPr>
          <w:rFonts w:ascii="Times New Roman" w:hAnsi="Times New Roman" w:eastAsia="Times New Roman" w:cs="Times New Roman"/>
          <w:sz w:val="20"/>
          <w:szCs w:val="28"/>
          <w:lang w:eastAsia="ru-RU"/>
        </w:rPr>
      </w:pPr>
      <w:r>
        <w:rPr>
          <w:rFonts w:eastAsia="Times New Roman" w:cs="Times New Roman"/>
          <w:sz w:val="20"/>
          <w:szCs w:val="28"/>
          <w:lang w:eastAsia="ru-RU"/>
        </w:rPr>
      </w:r>
    </w:p>
    <w:p>
      <w:pPr>
        <w:pStyle w:val="Normal"/>
        <w:spacing w:lineRule="auto" w:line="240" w:before="0" w:after="0"/>
        <w:jc w:val="both"/>
        <w:rPr/>
      </w:pPr>
      <w:r>
        <w:rPr>
          <w:rFonts w:eastAsia="Times New Roman" w:cs="Times New Roman"/>
          <w:sz w:val="28"/>
          <w:szCs w:val="28"/>
          <w:lang w:eastAsia="ru-RU"/>
        </w:rPr>
        <w:tab/>
        <w:t>Для відстеження результативності дії регуляторного акту визначено такі показники:</w:t>
      </w:r>
    </w:p>
    <w:p>
      <w:pPr>
        <w:pStyle w:val="Normal"/>
        <w:spacing w:lineRule="auto" w:line="240" w:before="0" w:after="0"/>
        <w:ind w:firstLine="708"/>
        <w:jc w:val="center"/>
        <w:rPr>
          <w:rFonts w:eastAsia="Times New Roman" w:cs="Times New Roman"/>
          <w:b/>
          <w:b/>
          <w:bCs/>
          <w:sz w:val="28"/>
          <w:szCs w:val="28"/>
          <w:lang w:eastAsia="ru-RU"/>
        </w:rPr>
      </w:pPr>
      <w:r>
        <w:rPr>
          <w:rFonts w:eastAsia="Times New Roman" w:cs="Times New Roman"/>
          <w:b/>
          <w:bCs/>
          <w:sz w:val="28"/>
          <w:szCs w:val="28"/>
          <w:lang w:eastAsia="ru-RU"/>
        </w:rPr>
      </w:r>
    </w:p>
    <w:p>
      <w:pPr>
        <w:pStyle w:val="Normal"/>
        <w:spacing w:lineRule="auto" w:line="240" w:before="0" w:after="0"/>
        <w:ind w:firstLine="708"/>
        <w:jc w:val="center"/>
        <w:rPr/>
      </w:pPr>
      <w:r>
        <w:rPr>
          <w:rFonts w:eastAsia="Times New Roman" w:cs="Times New Roman"/>
          <w:b/>
          <w:bCs/>
          <w:sz w:val="28"/>
          <w:szCs w:val="28"/>
          <w:lang w:eastAsia="ru-RU"/>
        </w:rPr>
        <w:t>Показники результативності:</w:t>
      </w:r>
    </w:p>
    <w:tbl>
      <w:tblPr>
        <w:tblStyle w:val="ad"/>
        <w:tblW w:w="9738" w:type="dxa"/>
        <w:jc w:val="left"/>
        <w:tblInd w:w="9"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right w:w="108" w:type="dxa"/>
        </w:tblCellMar>
        <w:tblLook w:val="04a0"/>
      </w:tblPr>
      <w:tblGrid>
        <w:gridCol w:w="6750"/>
        <w:gridCol w:w="1567"/>
        <w:gridCol w:w="1421"/>
      </w:tblGrid>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
                <w:bCs/>
                <w:sz w:val="28"/>
                <w:szCs w:val="28"/>
                <w:lang w:eastAsia="ru-RU"/>
              </w:rPr>
              <w:t>Показник</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
                <w:bCs/>
                <w:sz w:val="28"/>
                <w:szCs w:val="28"/>
                <w:lang w:eastAsia="ru-RU"/>
              </w:rPr>
              <w:t>2020 рік</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jc w:val="center"/>
              <w:rPr/>
            </w:pPr>
            <w:r>
              <w:rPr>
                <w:rFonts w:eastAsia="Times New Roman" w:cs="Times New Roman"/>
                <w:b/>
                <w:sz w:val="28"/>
                <w:szCs w:val="28"/>
                <w:lang w:eastAsia="ru-RU"/>
              </w:rPr>
              <w:t>(факт)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
                <w:sz w:val="28"/>
                <w:szCs w:val="28"/>
                <w:lang w:eastAsia="ru-RU"/>
              </w:rPr>
              <w:t>2 роки</w:t>
            </w:r>
          </w:p>
          <w:p>
            <w:pPr>
              <w:pStyle w:val="Normal"/>
              <w:widowControl w:val="false"/>
              <w:spacing w:lineRule="auto" w:line="240" w:before="0" w:after="0"/>
              <w:jc w:val="center"/>
              <w:rPr/>
            </w:pPr>
            <w:r>
              <w:rPr>
                <w:rFonts w:eastAsia="Times New Roman" w:cs="Times New Roman"/>
                <w:b/>
                <w:sz w:val="28"/>
                <w:szCs w:val="28"/>
                <w:lang w:eastAsia="ru-RU"/>
              </w:rPr>
              <w:t>(очікува-не)</w:t>
            </w:r>
            <w:bookmarkStart w:id="27" w:name="_GoBack"/>
            <w:bookmarkEnd w:id="27"/>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b/>
                <w:bCs/>
                <w:iCs/>
                <w:sz w:val="28"/>
                <w:szCs w:val="28"/>
                <w:lang w:eastAsia="ru-RU"/>
              </w:rPr>
              <w:t>Кількісні:</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b/>
                <w:bCs/>
                <w:sz w:val="28"/>
                <w:szCs w:val="28"/>
                <w:lang w:eastAsia="ru-RU"/>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b/>
                <w:bCs/>
                <w:sz w:val="28"/>
                <w:szCs w:val="28"/>
                <w:lang w:eastAsia="ru-RU"/>
              </w:rPr>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sz w:val="28"/>
                <w:szCs w:val="28"/>
                <w:lang w:eastAsia="ru-RU"/>
              </w:rPr>
              <w:t>Кількість діючих міських автобусних маршрутів</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8</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8</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sz w:val="28"/>
                <w:szCs w:val="28"/>
                <w:lang w:eastAsia="ru-RU"/>
              </w:rPr>
              <w:t>Обсяг робіт з капітального ремонту рухомого складу (%)</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50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100</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sz w:val="28"/>
                <w:szCs w:val="28"/>
                <w:lang w:eastAsia="ru-RU"/>
              </w:rPr>
              <w:t>Кількість автобусів, які виконують перевезення пасажирів на міських маршрутах</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12</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12</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sz w:val="28"/>
                <w:szCs w:val="28"/>
                <w:lang w:eastAsia="ru-RU"/>
              </w:rPr>
              <w:t>Середня пасажиромісткість автобусів на міських автобусних маршрутах загального користування</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26</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27</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bCs/>
                <w:sz w:val="28"/>
                <w:szCs w:val="28"/>
                <w:lang w:eastAsia="ru-RU"/>
              </w:rPr>
              <w:t>К</w:t>
            </w:r>
            <w:r>
              <w:rPr>
                <w:rFonts w:eastAsia="Times New Roman" w:cs="Times New Roman"/>
                <w:sz w:val="28"/>
                <w:szCs w:val="28"/>
                <w:lang w:eastAsia="ru-RU"/>
              </w:rPr>
              <w:t>ількість скарг/звернень громадян на якість надання відповідних послуг</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19</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11</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bCs/>
                <w:sz w:val="28"/>
                <w:szCs w:val="28"/>
                <w:lang w:eastAsia="ru-RU"/>
              </w:rPr>
              <w:t>Компенсаційні виплати за пільговий проїзд окремих категорій громадян на міських автобусних маршрутах загального користування (млн. грн.)</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2,5</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3,5</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bCs/>
                <w:sz w:val="28"/>
                <w:szCs w:val="28"/>
                <w:lang w:eastAsia="ru-RU"/>
              </w:rPr>
              <w:t>Кількість суб’єктів господарювання, на яких поширюватиметься регуляторний акт</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3</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3</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b/>
                <w:bCs/>
                <w:iCs/>
                <w:sz w:val="28"/>
                <w:szCs w:val="28"/>
                <w:lang w:eastAsia="ru-RU"/>
              </w:rPr>
              <w:t xml:space="preserve">Якісні (у бальній системі в межах розділу </w:t>
            </w:r>
            <w:r>
              <w:rPr>
                <w:rFonts w:eastAsia="Times New Roman" w:cs="Times New Roman"/>
                <w:b/>
                <w:bCs/>
                <w:iCs/>
                <w:sz w:val="28"/>
                <w:szCs w:val="28"/>
                <w:lang w:val="en-US" w:eastAsia="ru-RU"/>
              </w:rPr>
              <w:t>IV</w:t>
            </w:r>
            <w:r>
              <w:rPr>
                <w:rFonts w:eastAsia="Times New Roman" w:cs="Times New Roman"/>
                <w:b/>
                <w:bCs/>
                <w:iCs/>
                <w:sz w:val="28"/>
                <w:szCs w:val="28"/>
                <w:lang w:val="ru-RU" w:eastAsia="ru-RU"/>
              </w:rPr>
              <w:t>):</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r>
              <w:rPr>
                <w:rFonts w:eastAsia="Times New Roman" w:cs="Times New Roman"/>
                <w:sz w:val="28"/>
                <w:szCs w:val="28"/>
                <w:lang w:eastAsia="ru-RU"/>
              </w:rPr>
              <w:t>Показники якості надання послуг пасажирського транспорту загального користування (згідно з опитуваннями, консультаціями з громадськістю тощо)</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2</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3</w:t>
            </w:r>
          </w:p>
        </w:tc>
      </w:tr>
      <w:tr>
        <w:trPr/>
        <w:tc>
          <w:tcPr>
            <w:tcW w:w="67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Рівень поінформованості суб'єктів господарювання, (%)</w:t>
            </w:r>
          </w:p>
        </w:tc>
        <w:tc>
          <w:tcPr>
            <w:tcW w:w="1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100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bCs/>
                <w:sz w:val="28"/>
                <w:szCs w:val="28"/>
                <w:lang w:eastAsia="ru-RU"/>
              </w:rPr>
              <w:t>100</w:t>
            </w:r>
          </w:p>
        </w:tc>
      </w:tr>
    </w:tbl>
    <w:p>
      <w:pPr>
        <w:pStyle w:val="Normal"/>
        <w:widowControl/>
        <w:suppressAutoHyphens w:val="true"/>
        <w:bidi w:val="0"/>
        <w:spacing w:lineRule="auto" w:line="240" w:before="0" w:after="0"/>
        <w:ind w:left="0" w:right="0" w:firstLine="397"/>
        <w:jc w:val="both"/>
        <w:rPr>
          <w:b w:val="false"/>
          <w:b w:val="false"/>
          <w:bCs w:val="false"/>
          <w:sz w:val="20"/>
          <w:szCs w:val="24"/>
          <w:lang w:val="uk-UA" w:eastAsia="zh-CN"/>
        </w:rPr>
      </w:pPr>
      <w:r>
        <w:rPr>
          <w:b w:val="false"/>
          <w:bCs w:val="false"/>
          <w:sz w:val="20"/>
          <w:szCs w:val="24"/>
          <w:lang w:val="uk-UA" w:eastAsia="zh-CN"/>
        </w:rPr>
      </w:r>
    </w:p>
    <w:p>
      <w:pPr>
        <w:pStyle w:val="Normal"/>
        <w:widowControl/>
        <w:suppressAutoHyphens w:val="true"/>
        <w:bidi w:val="0"/>
        <w:spacing w:before="0" w:after="0"/>
        <w:ind w:left="0" w:right="0" w:firstLine="397"/>
        <w:jc w:val="center"/>
        <w:rPr/>
      </w:pPr>
      <w:bookmarkStart w:id="28" w:name="n170"/>
      <w:bookmarkEnd w:id="28"/>
      <w:r>
        <w:rPr>
          <w:b/>
          <w:bCs/>
          <w:lang w:val="uk-UA" w:eastAsia="zh-CN"/>
        </w:rPr>
        <w:t>IX. Визначення заходів, за допомогою яких здійснюватиметься відстеження результативності дії регуляторного акту</w:t>
      </w:r>
    </w:p>
    <w:p>
      <w:pPr>
        <w:pStyle w:val="Normal"/>
        <w:widowControl/>
        <w:suppressAutoHyphens w:val="true"/>
        <w:bidi w:val="0"/>
        <w:spacing w:before="0" w:after="0"/>
        <w:ind w:left="0" w:right="0" w:firstLine="397"/>
        <w:jc w:val="both"/>
        <w:rPr>
          <w:sz w:val="20"/>
          <w:szCs w:val="24"/>
        </w:rPr>
      </w:pPr>
      <w:r>
        <w:rPr>
          <w:sz w:val="20"/>
          <w:szCs w:val="24"/>
        </w:rPr>
      </w:r>
    </w:p>
    <w:p>
      <w:pPr>
        <w:pStyle w:val="Normal"/>
        <w:widowControl/>
        <w:suppressAutoHyphens w:val="true"/>
        <w:bidi w:val="0"/>
        <w:spacing w:before="0" w:after="0"/>
        <w:ind w:left="0" w:right="0" w:hanging="0"/>
        <w:jc w:val="both"/>
        <w:rPr/>
      </w:pPr>
      <w:r>
        <w:rPr>
          <w:b w:val="false"/>
          <w:bCs w:val="false"/>
        </w:rPr>
        <w:tab/>
        <w:t>Відстеження результативності регуляторного акту буде проводитися у строки, визначені Законом України “Про засади державної регуляторної політики у сфері господарської діяльності”.</w:t>
      </w:r>
    </w:p>
    <w:p>
      <w:pPr>
        <w:pStyle w:val="Normal"/>
        <w:widowControl/>
        <w:suppressAutoHyphens w:val="true"/>
        <w:bidi w:val="0"/>
        <w:spacing w:before="0" w:after="0"/>
        <w:ind w:left="0" w:right="0" w:hanging="0"/>
        <w:jc w:val="both"/>
        <w:rPr/>
      </w:pPr>
      <w:r>
        <w:rPr>
          <w:b w:val="false"/>
          <w:bCs w:val="false"/>
        </w:rPr>
        <w:tab/>
        <w:t>Базове відстеження результативності буде проведено до дня набрання чинності даного регуляторного акта.</w:t>
      </w:r>
    </w:p>
    <w:p>
      <w:pPr>
        <w:pStyle w:val="Normal"/>
        <w:widowControl/>
        <w:suppressAutoHyphens w:val="true"/>
        <w:bidi w:val="0"/>
        <w:spacing w:before="0" w:after="0"/>
        <w:ind w:left="0" w:right="0" w:hanging="0"/>
        <w:jc w:val="both"/>
        <w:rPr/>
      </w:pPr>
      <w:r>
        <w:rPr>
          <w:b w:val="false"/>
          <w:bCs w:val="false"/>
        </w:rPr>
        <w:tab/>
        <w:t>Повторне відстеження – через рік з дня набрання чинності, але не пізніше двох років з дня набрання чинності даного регуляторного акта.</w:t>
      </w:r>
    </w:p>
    <w:p>
      <w:pPr>
        <w:pStyle w:val="Normal"/>
        <w:widowControl/>
        <w:suppressAutoHyphens w:val="true"/>
        <w:bidi w:val="0"/>
        <w:spacing w:before="0" w:after="0"/>
        <w:ind w:left="0" w:right="0" w:hanging="0"/>
        <w:jc w:val="both"/>
        <w:rPr/>
      </w:pPr>
      <w:r>
        <w:rPr>
          <w:b w:val="false"/>
          <w:bCs w:val="false"/>
        </w:rPr>
        <w:tab/>
        <w:t>Періодичне відстеження результативності регуляторного акту буде здійснюватися раз на кожні три роки, починаючи з дня закінчення заходів з повторного відстеження результативності цього акту.</w:t>
      </w:r>
    </w:p>
    <w:p>
      <w:pPr>
        <w:pStyle w:val="Normal"/>
        <w:widowControl/>
        <w:suppressAutoHyphens w:val="true"/>
        <w:bidi w:val="0"/>
        <w:spacing w:before="0" w:after="0"/>
        <w:ind w:left="0" w:right="0" w:hanging="0"/>
        <w:jc w:val="both"/>
        <w:rPr/>
      </w:pPr>
      <w:r>
        <w:rPr>
          <w:b w:val="false"/>
          <w:bCs w:val="false"/>
        </w:rPr>
        <w:tab/>
        <w:t>Відстеження результативності регуляторного акту буде здійснюватися відділом транспорту та зв’язку виконавчого комітету Покровської міської ради.</w:t>
      </w:r>
    </w:p>
    <w:p>
      <w:pPr>
        <w:pStyle w:val="Normal"/>
        <w:widowControl/>
        <w:suppressAutoHyphens w:val="true"/>
        <w:bidi w:val="0"/>
        <w:spacing w:before="0" w:after="0"/>
        <w:ind w:left="0" w:right="0" w:hanging="0"/>
        <w:jc w:val="both"/>
        <w:rPr/>
      </w:pPr>
      <w:r>
        <w:rPr>
          <w:b w:val="false"/>
          <w:bCs w:val="false"/>
        </w:rPr>
        <w:tab/>
        <w:t>У разі виявлення неврегульованих питань при проведенні аналізу показників дії даного регуляторного акта, до нього буде внесено відповідні зміни.</w:t>
      </w:r>
    </w:p>
    <w:p>
      <w:pPr>
        <w:pStyle w:val="Normal"/>
        <w:widowControl/>
        <w:suppressAutoHyphens w:val="true"/>
        <w:bidi w:val="0"/>
        <w:spacing w:before="0" w:after="0"/>
        <w:ind w:left="0" w:right="0" w:firstLine="737"/>
        <w:jc w:val="both"/>
        <w:rPr/>
      </w:pPr>
      <w:r>
        <w:rPr>
          <w:b w:val="false"/>
          <w:bCs w:val="false"/>
        </w:rPr>
        <w:t xml:space="preserve">Проект регуляторного акту </w:t>
      </w:r>
      <w:r>
        <w:rPr>
          <w:rFonts w:eastAsia="NSimSun" w:cs="Lucida Sans"/>
          <w:b w:val="false"/>
          <w:bCs w:val="false"/>
          <w:color w:val="auto"/>
          <w:kern w:val="2"/>
          <w:sz w:val="28"/>
          <w:szCs w:val="24"/>
          <w:lang w:val="uk-UA" w:eastAsia="zh-CN" w:bidi="hi-IN"/>
        </w:rPr>
        <w:t xml:space="preserve">з відповідним </w:t>
      </w:r>
      <w:r>
        <w:rPr>
          <w:b w:val="false"/>
          <w:bCs w:val="false"/>
        </w:rPr>
        <w:t xml:space="preserve">аналізом регуляторного впливу оприлюднені на офіційному веб-сайті Покровської міської ради </w:t>
      </w:r>
      <w:r>
        <w:rPr>
          <w:rFonts w:cs="Times New Roman"/>
          <w:b w:val="false"/>
          <w:bCs w:val="false"/>
          <w:sz w:val="28"/>
          <w:szCs w:val="28"/>
          <w:lang w:val="uk-UA" w:eastAsia="zh-CN"/>
        </w:rPr>
        <w:t>(</w:t>
      </w:r>
      <w:hyperlink r:id="rId2">
        <w:r>
          <w:rPr>
            <w:rStyle w:val="ListLabel37"/>
            <w:rFonts w:cs="Times New Roman"/>
            <w:b w:val="false"/>
            <w:bCs w:val="false"/>
            <w:sz w:val="28"/>
            <w:szCs w:val="28"/>
            <w:lang w:val="uk-UA" w:eastAsia="zh-CN"/>
          </w:rPr>
          <w:t>https://pkrv.dp.gov.ua/</w:t>
        </w:r>
      </w:hyperlink>
      <w:r>
        <w:rPr>
          <w:rFonts w:cs="Times New Roman"/>
          <w:b w:val="false"/>
          <w:bCs w:val="false"/>
          <w:sz w:val="28"/>
          <w:szCs w:val="28"/>
          <w:lang w:val="uk-UA" w:eastAsia="zh-CN"/>
        </w:rPr>
        <w:t>).</w:t>
      </w:r>
    </w:p>
    <w:sectPr>
      <w:headerReference w:type="even" r:id="rId3"/>
      <w:headerReference w:type="default" r:id="rId4"/>
      <w:type w:val="nextPage"/>
      <w:pgSz w:w="11906" w:h="16838"/>
      <w:pgMar w:left="1474" w:right="567" w:header="567" w:top="1172"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before="0" w:after="0"/>
      <w:ind w:left="6803" w:right="0" w:hanging="0"/>
      <w:jc w:val="both"/>
      <w:rPr>
        <w:sz w:val="20"/>
        <w:szCs w:val="24"/>
      </w:rPr>
    </w:pPr>
    <w:r>
      <w:rPr>
        <w:sz w:val="20"/>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9"/>
  <w:autoHyphenation w:val="fals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0"/>
        <w:szCs w:val="24"/>
        <w:lang w:val="uk-UA" w:eastAsia="zh-CN" w:bidi="hi-IN"/>
      </w:rPr>
    </w:rPrDefault>
    <w:pPrDefault>
      <w:pPr/>
    </w:pPrDefault>
  </w:docDefaults>
  <w:style w:type="paragraph" w:styleId="Normal">
    <w:name w:val="Normal"/>
    <w:qFormat/>
    <w:pPr>
      <w:widowControl/>
      <w:suppressAutoHyphens w:val="true"/>
      <w:bidi w:val="0"/>
      <w:spacing w:before="0" w:after="0"/>
      <w:jc w:val="left"/>
    </w:pPr>
    <w:rPr>
      <w:rFonts w:ascii="Times New Roman" w:hAnsi="Times New Roman" w:eastAsia="NSimSun" w:cs="Lucida Sans"/>
      <w:color w:val="auto"/>
      <w:kern w:val="2"/>
      <w:sz w:val="28"/>
      <w:szCs w:val="24"/>
      <w:lang w:val="uk-UA" w:eastAsia="zh-CN" w:bidi="hi-IN"/>
    </w:rPr>
  </w:style>
  <w:style w:type="character" w:styleId="Style14">
    <w:name w:val="Маркеры"/>
    <w:qFormat/>
    <w:rPr>
      <w:rFonts w:ascii="OpenSymbol" w:hAnsi="OpenSymbol" w:eastAsia="OpenSymbol" w:cs="OpenSymbol"/>
    </w:rPr>
  </w:style>
  <w:style w:type="character" w:styleId="Style15">
    <w:name w:val="Интернет-ссылка"/>
    <w:qFormat/>
    <w:rPr>
      <w:color w:val="000080"/>
      <w:u w:val="single"/>
      <w:lang w:val="zxx" w:eastAsia="zxx" w:bidi="zxx"/>
    </w:rPr>
  </w:style>
  <w:style w:type="character" w:styleId="Style16">
    <w:name w:val="Символ нумерации"/>
    <w:qFormat/>
    <w:rPr/>
  </w:style>
  <w:style w:type="character" w:styleId="Style17">
    <w:name w:val="Выделение жирным"/>
    <w:qFormat/>
    <w:rPr>
      <w:b/>
      <w:bCs/>
    </w:rPr>
  </w:style>
  <w:style w:type="character" w:styleId="Style18">
    <w:name w:val="Гіперпосилання"/>
    <w:qFormat/>
    <w:rPr>
      <w:color w:val="000080"/>
      <w:u w:val="single"/>
      <w:lang w:val="zxx" w:eastAsia="zxx" w:bidi="zxx"/>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Times New Roman"/>
      <w:b w:val="false"/>
      <w:bCs w:val="false"/>
      <w:sz w:val="28"/>
      <w:szCs w:val="28"/>
      <w:lang w:val="uk-UA" w:eastAsia="zh-CN"/>
    </w:rPr>
  </w:style>
  <w:style w:type="character" w:styleId="Style19">
    <w:name w:val="Символ нумерації"/>
    <w:qFormat/>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Times New Roman"/>
      <w:b w:val="false"/>
      <w:bCs w:val="false"/>
      <w:sz w:val="28"/>
      <w:szCs w:val="28"/>
      <w:lang w:val="uk-UA" w:eastAsia="zh-CN"/>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Symbol"/>
    </w:rPr>
  </w:style>
  <w:style w:type="character" w:styleId="ListLabel94">
    <w:name w:val="ListLabel 94"/>
    <w:qFormat/>
    <w:rPr>
      <w:rFonts w:cs="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Times New Roman"/>
      <w:b w:val="false"/>
      <w:bCs w:val="false"/>
      <w:sz w:val="28"/>
      <w:szCs w:val="28"/>
      <w:lang w:val="uk-UA" w:eastAsia="zh-CN"/>
    </w:rPr>
  </w:style>
  <w:style w:type="paragraph" w:styleId="Style20">
    <w:name w:val="Заголовок"/>
    <w:basedOn w:val="Normal"/>
    <w:next w:val="Style21"/>
    <w:qFormat/>
    <w:pPr>
      <w:keepNext w:val="true"/>
      <w:spacing w:before="240" w:after="120"/>
    </w:pPr>
    <w:rPr>
      <w:rFonts w:ascii="Times New Roman" w:hAnsi="Times New Roman"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Покажчик"/>
    <w:basedOn w:val="Normal"/>
    <w:qFormat/>
    <w:pPr>
      <w:suppressLineNumbers/>
    </w:pPr>
    <w:rPr>
      <w:rFonts w:cs="Lohit Devanagari"/>
    </w:rPr>
  </w:style>
  <w:style w:type="paragraph" w:styleId="Style25">
    <w:name w:val="Указатель"/>
    <w:basedOn w:val="Normal"/>
    <w:qFormat/>
    <w:pPr>
      <w:suppressLineNumbers/>
    </w:pPr>
    <w:rPr>
      <w:rFonts w:cs="Lucida Sans"/>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NoList">
    <w:name w:val="No List"/>
    <w:qFormat/>
    <w:pPr>
      <w:widowControl/>
      <w:suppressAutoHyphens w:val="true"/>
      <w:bidi w:val="0"/>
      <w:spacing w:lineRule="auto" w:line="276" w:before="0" w:after="200"/>
      <w:jc w:val="left"/>
    </w:pPr>
    <w:rPr>
      <w:rFonts w:ascii="Liberation Serif" w:hAnsi="Liberation Serif" w:eastAsia="NSimSun" w:cs="Lucida Sans"/>
      <w:color w:val="auto"/>
      <w:kern w:val="2"/>
      <w:sz w:val="24"/>
      <w:szCs w:val="24"/>
      <w:lang w:val="uk-UA" w:eastAsia="zh-CN" w:bidi="hi-IN"/>
    </w:rPr>
  </w:style>
  <w:style w:type="paragraph" w:styleId="Style28">
    <w:name w:val="Верхний и нижний колонтитулы"/>
    <w:basedOn w:val="Normal"/>
    <w:qFormat/>
    <w:pPr>
      <w:suppressLineNumbers/>
      <w:tabs>
        <w:tab w:val="center" w:pos="5089" w:leader="none"/>
        <w:tab w:val="right" w:pos="10179" w:leader="none"/>
      </w:tabs>
    </w:pPr>
    <w:rPr/>
  </w:style>
  <w:style w:type="paragraph" w:styleId="Style29">
    <w:name w:val="Header"/>
    <w:basedOn w:val="Style28"/>
    <w:pPr>
      <w:suppressLineNumbers/>
    </w:pPr>
    <w:rPr/>
  </w:style>
  <w:style w:type="paragraph" w:styleId="Style30">
    <w:name w:val="Вміст таблиці"/>
    <w:basedOn w:val="Normal"/>
    <w:qFormat/>
    <w:pPr>
      <w:suppressLineNumbers/>
    </w:pPr>
    <w:rPr/>
  </w:style>
  <w:style w:type="paragraph" w:styleId="Style31">
    <w:name w:val="Заголовок таблиці"/>
    <w:basedOn w:val="Style3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krv.dp.gov.ua/"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186</TotalTime>
  <Application>LibreOffice/6.0.7.3$Linux_X86_64 LibreOffice_project/00m0$Build-3</Application>
  <Pages>15</Pages>
  <Words>3666</Words>
  <Characters>26430</Characters>
  <CharactersWithSpaces>29792</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2021-04-07T08:12:05Z</dcterms:created>
  <dc:creator/>
  <dc:description/>
  <dc:language>uk-UA</dc:language>
  <cp:lastModifiedBy/>
  <cp:lastPrinted>2021-05-07T14:26:11Z</cp:lastPrinted>
  <dcterms:modified xsi:type="dcterms:W3CDTF">2021-05-20T15:51:51Z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