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5627370</wp:posOffset>
                </wp:positionH>
                <wp:positionV relativeFrom="paragraph">
                  <wp:posOffset>-146050</wp:posOffset>
                </wp:positionV>
                <wp:extent cx="819785" cy="2768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00" cy="27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3.1pt;margin-top:-11.5pt;width:64.45pt;height:21.7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0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350" distR="120650" simplePos="0" locked="0" layoutInCell="1" allowOverlap="1" relativeHeight="2">
            <wp:simplePos x="0" y="0"/>
            <wp:positionH relativeFrom="column">
              <wp:posOffset>2981325</wp:posOffset>
            </wp:positionH>
            <wp:positionV relativeFrom="paragraph">
              <wp:posOffset>60325</wp:posOffset>
            </wp:positionV>
            <wp:extent cx="431800" cy="60198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ВИКОНАВЧИЙ КОМІТЕТ ПОКРОВСЬКОЇ  МІСЬКОЇ  РАДИ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ДНІПРОПЕТРОВСЬКОЇ ОБЛАСТІ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125095</wp:posOffset>
                </wp:positionH>
                <wp:positionV relativeFrom="paragraph">
                  <wp:posOffset>6350</wp:posOffset>
                </wp:positionV>
                <wp:extent cx="6088380" cy="2540"/>
                <wp:effectExtent l="0" t="0" r="0" b="0"/>
                <wp:wrapNone/>
                <wp:docPr id="3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6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Р І Ш Е Н Н Я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22.05.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</w:rPr>
        <w:t xml:space="preserve">р.                                    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                      № </w:t>
      </w:r>
      <w:r>
        <w:rPr>
          <w:sz w:val="28"/>
          <w:szCs w:val="28"/>
          <w:lang w:val="uk-UA"/>
        </w:rPr>
        <w:t>209</w:t>
      </w:r>
    </w:p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shd w:val="clear" w:color="auto" w:fill="FFFFFF"/>
        <w:ind w:left="11" w:right="266" w:hanging="11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Про реалізацію державної політики </w:t>
      </w:r>
    </w:p>
    <w:p>
      <w:pPr>
        <w:pStyle w:val="Normal"/>
        <w:shd w:val="clear" w:color="auto" w:fill="FFFFFF"/>
        <w:ind w:left="11" w:right="266" w:hanging="11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з питання адресного призначення </w:t>
      </w:r>
    </w:p>
    <w:p>
      <w:pPr>
        <w:pStyle w:val="Normal"/>
        <w:shd w:val="clear" w:color="auto" w:fill="FFFFFF"/>
        <w:ind w:left="11" w:right="266" w:hanging="11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субсидій та пільг у м. Покров за </w:t>
      </w:r>
    </w:p>
    <w:p>
      <w:pPr>
        <w:pStyle w:val="Normal"/>
        <w:shd w:val="clear" w:color="auto" w:fill="FFFFFF"/>
        <w:ind w:left="11" w:right="266" w:hanging="11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підсумками опалювального періоду </w:t>
      </w:r>
    </w:p>
    <w:p>
      <w:pPr>
        <w:pStyle w:val="Normal"/>
        <w:shd w:val="clear" w:color="auto" w:fill="FFFFFF"/>
        <w:ind w:left="11" w:right="266" w:hanging="11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2018-2019 років </w:t>
      </w:r>
    </w:p>
    <w:p>
      <w:pPr>
        <w:pStyle w:val="Normal"/>
        <w:ind w:firstLine="708"/>
        <w:jc w:val="both"/>
        <w:rPr>
          <w:color w:val="000000"/>
          <w:spacing w:val="2"/>
          <w:lang w:val="uk-UA"/>
        </w:rPr>
      </w:pPr>
      <w:r>
        <w:rPr>
          <w:color w:val="000000"/>
          <w:spacing w:val="2"/>
          <w:lang w:val="uk-UA"/>
        </w:rPr>
      </w:r>
    </w:p>
    <w:p>
      <w:pPr>
        <w:pStyle w:val="Normal"/>
        <w:spacing w:lineRule="auto" w:line="216"/>
        <w:ind w:firstLine="708"/>
        <w:jc w:val="both"/>
        <w:rPr/>
      </w:pPr>
      <w:r>
        <w:rPr>
          <w:color w:val="000000"/>
          <w:spacing w:val="2"/>
          <w:sz w:val="28"/>
          <w:szCs w:val="28"/>
          <w:lang w:val="uk-UA"/>
        </w:rPr>
        <w:t>Реформування  системи надання пільг та житлових субсидій є однією з ключових реформ у соціальній сфері, які здійснюються Урядом України. З метою вдосконалення, спрощення та підвищення ефективності такої державної підтримки постановами  Кабінету Міністрів України  від</w:t>
      </w:r>
      <w:r>
        <w:rPr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27.12.2018 р. № 1176 «Деякі питання надання житлових субсидій населенню у грошовій формі» та  від 06.02.2019 р. № 62 «Про внесення змін до деяких постанов Кабінету Міністрів України» внесено зміни до  постанови № 848 та паралельно запроваджено 2 моделі монетизації субсидії, а саме: субсидія у безготівковій грошовій формі, що надає громадянам, які звернулися за її призначенням після 1 січня 2019 року і яким вона призначена не раніше як з січня 2019 року (така форма надання субсидій передбачає розрахунки за призначеними субсидіями через Ощадбанк і виплату залишку невикористаної субсидії готівкою через Ощадбанк за результатами опалювального сезону) та готівкова форма надання субсидій для громадян, які звернулися за її призначенням до 31 грудня 2018 р., а також тим, що звернулися після 1 січня 2019 р., але житлова субсидія їм призначена з 2018 року (кошти субсидії, починаючи з житлової субсидії за лютий 2019 року, виплачуються безпосередньо громадянам, які повинні самостійно сплачувати за використані житлово-комунальні послуги). Монетизація пільг вступила в дію з 1 травня поточного року.</w:t>
      </w:r>
    </w:p>
    <w:p>
      <w:pPr>
        <w:pStyle w:val="Normal"/>
        <w:spacing w:lineRule="auto" w:line="216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Призначення житлових субсидій в м. Покров здійснюється за єдиною технологією прийому громадян на загальних підставах в межах соціальних норм за наявності лише двох документів - заяви та декларації. Громадянам, які не підпадають під загальний порядок  та опинились в складних життєвих обставинах субсидію було призначено за рішенням міської комісії на підставі додатково наданих до розгляду  документів.  Із 17,3 тис. домогосподарств міста протягом  опалювального періоду 2018-2019 р.р. субсидію отримували 5979 домогосподарств, що становить 34,6 % від загальної кількості ( у т.ч. 1571 через комісію), з них 5632 готівкою,  347 - у безготівковій формі. Пільгами користується 1643 домогосподарства (у т.ч. 157 багатодітних сімей), ще 2656 пільговиків вибрали інший вид допомоги – житлову субсидію. Таким чином, пільгами та житловими субсидіями охоплено 7622 домогосподарства, що складає 44% від їх загальної кількості.</w:t>
      </w:r>
    </w:p>
    <w:p>
      <w:pPr>
        <w:pStyle w:val="Normal"/>
        <w:spacing w:lineRule="auto" w:line="216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</w:r>
    </w:p>
    <w:p>
      <w:pPr>
        <w:pStyle w:val="Normal"/>
        <w:spacing w:lineRule="auto" w:line="216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</w:r>
    </w:p>
    <w:p>
      <w:pPr>
        <w:pStyle w:val="Normal"/>
        <w:spacing w:lineRule="auto" w:line="216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</w:r>
    </w:p>
    <w:p>
      <w:pPr>
        <w:pStyle w:val="Normal"/>
        <w:spacing w:lineRule="auto" w:line="216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</w:r>
    </w:p>
    <w:p>
      <w:pPr>
        <w:pStyle w:val="Normal"/>
        <w:spacing w:lineRule="auto" w:line="216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</w:r>
    </w:p>
    <w:p>
      <w:pPr>
        <w:pStyle w:val="Normal"/>
        <w:spacing w:lineRule="auto" w:line="216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</w:r>
    </w:p>
    <w:p>
      <w:pPr>
        <w:pStyle w:val="Normal"/>
        <w:spacing w:lineRule="auto" w:line="216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</w:r>
    </w:p>
    <w:p>
      <w:pPr>
        <w:pStyle w:val="Normal"/>
        <w:spacing w:lineRule="auto" w:line="216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</w:r>
    </w:p>
    <w:p>
      <w:pPr>
        <w:pStyle w:val="Normal"/>
        <w:spacing w:lineRule="auto" w:line="216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</w:r>
    </w:p>
    <w:p>
      <w:pPr>
        <w:pStyle w:val="Normal"/>
        <w:spacing w:lineRule="auto" w:line="216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Враховуючи вищезазначене, беручи до уваги аналітичну довідку начальника управління праці та соціального захисту населення Ігнатюк Т.М., керуючись ст. 34 Закону України «Про місцеве самоврядування в Україні», </w:t>
      </w:r>
      <w:r>
        <w:rPr>
          <w:sz w:val="28"/>
          <w:szCs w:val="28"/>
          <w:lang w:val="uk-UA"/>
        </w:rPr>
        <w:t>виконком міської ради</w:t>
      </w:r>
    </w:p>
    <w:p>
      <w:pPr>
        <w:pStyle w:val="Normal"/>
        <w:jc w:val="center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>
      <w:pPr>
        <w:pStyle w:val="Normal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clear" w:pos="708"/>
          <w:tab w:val="left" w:pos="-6096" w:leader="none"/>
        </w:tabs>
        <w:spacing w:lineRule="auto" w:line="216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1.  Роботу управління праці та соціального захисту населення виконавчого комітету Покровської міської ради в частині реалізації державної політики з питання адресного призначення субсидій та пільг у м. Покров за підсумками опалювального періоду 2018-2019 років визнати такою, що відповідає пріоритетним напрямкам соціальної політики держави.</w:t>
      </w:r>
    </w:p>
    <w:p>
      <w:pPr>
        <w:pStyle w:val="Normal"/>
        <w:shd w:val="clear" w:color="auto" w:fill="FFFFFF"/>
        <w:tabs>
          <w:tab w:val="clear" w:pos="708"/>
          <w:tab w:val="left" w:pos="-6096" w:leader="none"/>
        </w:tabs>
        <w:spacing w:lineRule="auto" w:line="216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2. Управлінню праці та соціального захисту населення виконавчого комітету Покровської міської Ради (Ігнатюк Т.М.):</w:t>
      </w:r>
    </w:p>
    <w:p>
      <w:pPr>
        <w:pStyle w:val="Normal"/>
        <w:shd w:val="clear" w:color="auto" w:fill="FFFFFF"/>
        <w:tabs>
          <w:tab w:val="clear" w:pos="708"/>
          <w:tab w:val="left" w:pos="-6096" w:leader="none"/>
        </w:tabs>
        <w:spacing w:lineRule="auto" w:line="216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2.1. Налагодити  електронний документообіг між управлінням та віддаленими робочими місцями в с. Олександрівка та с. Шолохове  через використання програмного технічного комплексу «Реєстр справ».   </w:t>
      </w:r>
    </w:p>
    <w:p>
      <w:pPr>
        <w:pStyle w:val="Normal"/>
        <w:shd w:val="clear" w:color="auto" w:fill="FFFFFF"/>
        <w:tabs>
          <w:tab w:val="clear" w:pos="708"/>
          <w:tab w:val="left" w:pos="-6096" w:leader="none"/>
        </w:tabs>
        <w:spacing w:lineRule="auto" w:line="216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2.2. Скоординувати діяльність усіх управляючих компаній, ОСББ, надавачів житлово-комунальних послуг служб щодо дотримання механізму обміну інформацією відповідно до чинного законодавства.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pacing w:lineRule="auto" w:line="216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3. Контроль за виконанням цього рішення покласти на заступників міського голови  за напрямками роботи.</w:t>
      </w:r>
    </w:p>
    <w:p>
      <w:pPr>
        <w:pStyle w:val="Normal"/>
        <w:spacing w:lineRule="auto" w:line="2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jc w:val="both"/>
        <w:rPr>
          <w:color w:val="000000"/>
          <w:spacing w:val="2"/>
          <w:lang w:val="uk-UA"/>
        </w:rPr>
      </w:pPr>
      <w:r>
        <w:rPr>
          <w:color w:val="000000"/>
          <w:spacing w:val="2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О.М. Шаповал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66" w:header="0" w:top="426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Bookman Old Style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4e5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14165b"/>
    <w:pPr>
      <w:keepNext w:val="true"/>
      <w:jc w:val="both"/>
      <w:outlineLvl w:val="1"/>
    </w:pPr>
    <w:rPr>
      <w:b/>
      <w:smallCaps/>
      <w:sz w:val="28"/>
      <w:szCs w:val="2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14165b"/>
    <w:rPr>
      <w:b/>
      <w:smallCaps/>
      <w:sz w:val="28"/>
      <w:lang w:val="uk-UA"/>
    </w:rPr>
  </w:style>
  <w:style w:type="character" w:styleId="HTML" w:customStyle="1">
    <w:name w:val="Стандартный HTML Знак"/>
    <w:basedOn w:val="DefaultParagraphFont"/>
    <w:link w:val="HTML"/>
    <w:qFormat/>
    <w:rsid w:val="008a2a4a"/>
    <w:rPr>
      <w:rFonts w:ascii="Arial Unicode MS" w:hAnsi="Arial Unicode MS" w:eastAsia="Arial Unicode MS" w:cs="Arial Unicode MS"/>
    </w:rPr>
  </w:style>
  <w:style w:type="character" w:styleId="Style13" w:customStyle="1">
    <w:name w:val="Основной текст Знак"/>
    <w:basedOn w:val="DefaultParagraphFont"/>
    <w:link w:val="a7"/>
    <w:qFormat/>
    <w:rsid w:val="002075fb"/>
    <w:rPr>
      <w:rFonts w:eastAsia="Andale Sans UI"/>
      <w:kern w:val="2"/>
      <w:sz w:val="24"/>
      <w:szCs w:val="24"/>
      <w:lang w:eastAsia="zh-CN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Times New Roman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a8"/>
    <w:rsid w:val="002075fb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2f2f38"/>
    <w:pPr/>
    <w:rPr>
      <w:rFonts w:ascii="Tahoma" w:hAnsi="Tahoma" w:cs="Tahoma"/>
      <w:sz w:val="16"/>
      <w:szCs w:val="16"/>
    </w:rPr>
  </w:style>
  <w:style w:type="paragraph" w:styleId="4" w:customStyle="1">
    <w:name w:val="заголовок 4"/>
    <w:basedOn w:val="Normal"/>
    <w:next w:val="Normal"/>
    <w:qFormat/>
    <w:rsid w:val="002d3d36"/>
    <w:pPr>
      <w:keepNext w:val="true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Style19" w:customStyle="1">
    <w:name w:val="Знак"/>
    <w:basedOn w:val="Normal"/>
    <w:qFormat/>
    <w:rsid w:val="002d3d36"/>
    <w:pPr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350bd"/>
    <w:pPr>
      <w:ind w:left="708" w:hanging="0"/>
    </w:pPr>
    <w:rPr/>
  </w:style>
  <w:style w:type="paragraph" w:styleId="HTMLPreformatted">
    <w:name w:val="HTML Preformatted"/>
    <w:basedOn w:val="Normal"/>
    <w:link w:val="HTML0"/>
    <w:qFormat/>
    <w:rsid w:val="008a2a4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2b523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Application>LibreOffice/6.1.4.2$Windows_x86 LibreOffice_project/9d0f32d1f0b509096fd65e0d4bec26ddd1938fd3</Application>
  <Pages>2</Pages>
  <Words>508</Words>
  <Characters>3235</Characters>
  <CharactersWithSpaces>3920</CharactersWithSpaces>
  <Paragraphs>19</Paragraphs>
  <Company>Ispolkom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2019-01-09T11:11:00Z</dcterms:created>
  <dc:creator>Rew</dc:creator>
  <dc:description/>
  <dc:language>uk-UA</dc:language>
  <cp:lastModifiedBy/>
  <cp:lastPrinted>2019-05-20T11:21:14Z</cp:lastPrinted>
  <dcterms:modified xsi:type="dcterms:W3CDTF">2019-05-23T16:05:30Z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Ispolkom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