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uppressAutoHyphens w:val="true"/>
        <w:overflowPunct w:val="false"/>
        <w:bidi w:val="0"/>
        <w:spacing w:lineRule="auto" w:line="276" w:before="0" w:after="0"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5390515</wp:posOffset>
                </wp:positionH>
                <wp:positionV relativeFrom="paragraph">
                  <wp:posOffset>-462280</wp:posOffset>
                </wp:positionV>
                <wp:extent cx="496570" cy="17462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24.45pt;margin-top:-36.4pt;width:39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2927350</wp:posOffset>
            </wp:positionH>
            <wp:positionV relativeFrom="paragraph">
              <wp:posOffset>-304800</wp:posOffset>
            </wp:positionV>
            <wp:extent cx="414655" cy="59499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ПОКРОВСЬКА МІСЬКА РАДА                      </w:t>
      </w:r>
    </w:p>
    <w:p>
      <w:pPr>
        <w:pStyle w:val="Style15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261620</wp:posOffset>
                </wp:positionV>
                <wp:extent cx="6142355" cy="3619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2808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9.5pt" to="484.85pt,21.65pt" ID="Прямая соединительная линия 1" stroked="f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-65405</wp:posOffset>
                </wp:positionH>
                <wp:positionV relativeFrom="paragraph">
                  <wp:posOffset>286385</wp:posOffset>
                </wp:positionV>
                <wp:extent cx="6192520" cy="37465"/>
                <wp:effectExtent l="0" t="0" r="0" b="0"/>
                <wp:wrapNone/>
                <wp:docPr id="5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2000" cy="25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2pt,21.55pt" to="482.3pt,23.5pt" ID="Фігура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ДНІПРОПЕТРОВСЬКОЇ ОБЛАСТІ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  <w:shd w:fill="FFFFFF" w:val="clear"/>
        </w:rPr>
        <w:t xml:space="preserve">РОЗПОРЯДЖЕННЯ </w:t>
      </w:r>
    </w:p>
    <w:p>
      <w:pPr>
        <w:pStyle w:val="Normal"/>
        <w:bidi w:val="0"/>
        <w:ind w:left="-18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МІСЬКОГО ГОЛОВИ</w:t>
      </w:r>
    </w:p>
    <w:p>
      <w:pPr>
        <w:pStyle w:val="Normal"/>
        <w:bidi w:val="0"/>
        <w:ind w:left="-180" w:right="0" w:hanging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bidi w:val="0"/>
        <w:ind w:left="-180" w:right="0" w:hanging="0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</w:rPr>
        <w:t>24.03.2021р.                                      м.Покров                                                  №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80-р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Про затвердження плану заходів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щодо реалізації першого етапу Стратегії розвитку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фізичної культури і спорту </w:t>
      </w:r>
      <w:r>
        <w:rPr>
          <w:rFonts w:ascii="Times New Roman" w:hAnsi="Times New Roman"/>
          <w:sz w:val="28"/>
          <w:szCs w:val="28"/>
          <w:shd w:fill="FFFFFF" w:val="clear"/>
        </w:rPr>
        <w:t>на період 2021-2022 років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 w:before="114" w:after="234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  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Керуючись статтею 42 Закону України “Про місцеве  самоврядування в Україні”, розпорядженням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Кабінету Міністрів України від 03.03.2021   №163 - р “Про затвердження плану заходів на 2021 -2022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роки щодо реалізації першого етапу Стратегії розвитку фізичної культури і спорту на період до 2028 року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“, </w:t>
      </w: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рішенням </w:t>
      </w:r>
      <w:r>
        <w:rPr>
          <w:rFonts w:eastAsia="NSimSun" w:cs="Arial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hi-IN"/>
        </w:rPr>
        <w:t>ІІ</w:t>
      </w:r>
      <w:r>
        <w:rPr>
          <w:rFonts w:ascii="Times New Roman" w:hAnsi="Times New Roman"/>
          <w:bCs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shd w:fill="auto" w:val="clear"/>
          <w:lang w:val="uk-UA"/>
        </w:rPr>
        <w:t>пленарного засідання 40 сесії 7 скликання Покровської міської ради від 26.12.2018 р. №50 Про затвердження програми “Розвиток фізичної культури та спорту в територіальній громаді м.Покров на період 2019 - 2021 років”</w:t>
      </w:r>
      <w:r>
        <w:rPr>
          <w:rFonts w:ascii="Times New Roman" w:hAnsi="Times New Roman"/>
          <w:bCs/>
          <w:sz w:val="28"/>
          <w:szCs w:val="28"/>
          <w:shd w:fill="FFFFFF" w:val="clear"/>
          <w:lang w:val="uk-UA"/>
        </w:rPr>
        <w:t xml:space="preserve"> та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в рамках обмежувальних протиепідимічних заходів з попередження поширення коронавірусної хвороби </w:t>
      </w:r>
      <w:r>
        <w:rPr>
          <w:rFonts w:ascii="Times New Roman" w:hAnsi="Times New Roman"/>
          <w:bCs/>
          <w:sz w:val="28"/>
          <w:szCs w:val="28"/>
          <w:shd w:fill="FFFFFF" w:val="clear"/>
          <w:lang w:val="en-US"/>
        </w:rPr>
        <w:t>COVID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-19</w:t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>
      <w:pPr>
        <w:pStyle w:val="Normal"/>
        <w:bidi w:val="0"/>
        <w:spacing w:lineRule="auto" w:line="276" w:before="0" w:after="63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  <w:lang w:val="ru-RU"/>
        </w:rPr>
        <w:tab/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Затвердити план щодо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реалізації першого етапу Стратегії розвитку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uk-UA" w:eastAsia="ru-RU" w:bidi="hi-IN"/>
        </w:rPr>
        <w:t>фізичної культури і спорту на 2021 - 2022 рік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у Покровській міській теріторіальній громаді (додається).</w:t>
      </w:r>
    </w:p>
    <w:p>
      <w:pPr>
        <w:pStyle w:val="Normal"/>
        <w:bidi w:val="0"/>
        <w:spacing w:lineRule="auto" w:line="276" w:before="0" w:after="63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  <w:lang w:val="ru-RU"/>
        </w:rPr>
        <w:tab/>
        <w:t xml:space="preserve">2. Забезпечити: </w:t>
      </w:r>
    </w:p>
    <w:p>
      <w:pPr>
        <w:pStyle w:val="Style15"/>
        <w:bidi w:val="0"/>
        <w:spacing w:lineRule="auto" w:line="276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>2.1. Відділу молоді та спорту, управлінню освіти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відділу інформаційно-  технічного забезпечення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, управлінню житлово-комунального господарства та будівництва, відділу архітектури, відділу культури,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КП «Центральній міській лікарні Покровської міської ради Дніпропетровської області»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, прес-службі міського голови, приватним підприємцям (за згодою), професійним спілкам (за згодою), місцевим ЗМІ (за згодою), волонтерам (за згодою) та </w:t>
      </w:r>
      <w:r>
        <w:rPr>
          <w:rFonts w:ascii="Times New Roman" w:hAnsi="Times New Roman"/>
          <w:sz w:val="28"/>
          <w:szCs w:val="28"/>
          <w:shd w:fill="auto" w:val="clear"/>
        </w:rPr>
        <w:t>громадським організаціям (за згодою)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виконання зазначених заходів.</w:t>
      </w:r>
    </w:p>
    <w:p>
      <w:pPr>
        <w:pStyle w:val="Normal"/>
        <w:bidi w:val="0"/>
        <w:spacing w:lineRule="auto" w:line="276" w:before="0" w:after="12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3. Координацію роботи щодо виконання цього розпорядження покласти на відділ молоді та спорту, контроль - на заступників міського голови за напрямками роботи.</w:t>
      </w:r>
    </w:p>
    <w:p>
      <w:pPr>
        <w:pStyle w:val="Normal"/>
        <w:bidi w:val="0"/>
        <w:spacing w:lineRule="auto" w:line="240" w:before="0" w:after="12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        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О.М. Шаповал</w:t>
      </w:r>
      <w:r>
        <w:rPr>
          <w:rFonts w:eastAsia="NSimSun" w:cs="Arial" w:ascii="Times New Roman" w:hAnsi="Times New Roman"/>
          <w:bCs/>
          <w:color w:val="auto"/>
          <w:kern w:val="2"/>
          <w:sz w:val="28"/>
          <w:szCs w:val="28"/>
          <w:lang w:val="uk-UA" w:eastAsia="zh-CN" w:bidi="hi-IN"/>
        </w:rPr>
        <w:t xml:space="preserve">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both"/>
        <w:rPr/>
      </w:pPr>
      <w:r>
        <w:rPr>
          <w:rFonts w:eastAsia="NSimSun" w:cs="Arial" w:ascii="Times New Roman" w:hAnsi="Times New Roman"/>
          <w:bCs/>
          <w:color w:val="auto"/>
          <w:kern w:val="2"/>
          <w:sz w:val="28"/>
          <w:szCs w:val="28"/>
          <w:lang w:val="uk-UA" w:eastAsia="zh-CN" w:bidi="hi-IN"/>
        </w:rPr>
        <w:t xml:space="preserve">                                                                                    </w:t>
      </w:r>
    </w:p>
    <w:p>
      <w:pPr>
        <w:pStyle w:val="Normal"/>
        <w:bidi w:val="0"/>
        <w:jc w:val="both"/>
        <w:rPr/>
      </w:pPr>
      <w:r>
        <w:rPr>
          <w:rFonts w:eastAsia="NSimSun" w:cs="Arial" w:ascii="Times New Roman" w:hAnsi="Times New Roman"/>
          <w:bCs/>
          <w:color w:val="auto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NSimSun" w:cs="Arial" w:ascii="Times New Roman" w:hAnsi="Times New Roman"/>
          <w:bCs/>
          <w:color w:val="auto"/>
          <w:kern w:val="2"/>
          <w:sz w:val="28"/>
          <w:szCs w:val="28"/>
          <w:lang w:val="uk-UA" w:eastAsia="zh-CN" w:bidi="hi-IN"/>
        </w:rPr>
        <w:tab/>
        <w:tab/>
        <w:tab/>
        <w:tab/>
        <w:tab/>
        <w:tab/>
        <w:tab/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ЗАТВЕРДЖЕНО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Розпорядження міського голови</w:t>
      </w:r>
    </w:p>
    <w:p>
      <w:pPr>
        <w:pStyle w:val="Normal"/>
        <w:bidi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</w:r>
    </w:p>
    <w:p>
      <w:pPr>
        <w:pStyle w:val="Normal"/>
        <w:shd w:val="clear" w:fill="FFFFFF"/>
        <w:suppressAutoHyphens w:val="false"/>
        <w:bidi w:val="0"/>
        <w:jc w:val="left"/>
        <w:textAlignment w:val="baseline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24.03.2021р. №80-р</w:t>
      </w:r>
    </w:p>
    <w:p>
      <w:pPr>
        <w:pStyle w:val="Normal"/>
        <w:shd w:val="clear" w:fill="FFFFFF"/>
        <w:suppressAutoHyphens w:val="false"/>
        <w:bidi w:val="0"/>
        <w:ind w:left="0" w:right="0" w:firstLine="709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uppressAutoHyphens w:val="false"/>
        <w:bidi w:val="0"/>
        <w:ind w:left="0" w:right="0" w:firstLine="709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uppressAutoHyphens w:val="false"/>
        <w:bidi w:val="0"/>
        <w:ind w:left="0" w:right="0"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 заходів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shd w:val="clear" w:fill="FFFFFF"/>
        <w:suppressAutoHyphens w:val="false"/>
        <w:bidi w:val="0"/>
        <w:ind w:left="0" w:right="0"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реалізації першого етапу Стратегії розвитку</w:t>
      </w:r>
    </w:p>
    <w:p>
      <w:pPr>
        <w:pStyle w:val="Normal"/>
        <w:shd w:val="clear" w:fill="FFFFFF"/>
        <w:suppressAutoHyphens w:val="false"/>
        <w:bidi w:val="0"/>
        <w:ind w:left="0" w:right="0"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NSimSun" w:cs="Arial" w:ascii="Times New Roman" w:hAnsi="Times New Roman"/>
          <w:bCs/>
          <w:color w:val="000000"/>
          <w:kern w:val="2"/>
          <w:sz w:val="28"/>
          <w:szCs w:val="28"/>
          <w:shd w:fill="FFFFFF" w:val="clear"/>
          <w:lang w:val="uk-UA" w:eastAsia="zh-CN" w:bidi="hi-IN"/>
        </w:rPr>
        <w:t xml:space="preserve">фізичної культури і спорту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2021- 2022 рік у місті Покров</w:t>
      </w:r>
    </w:p>
    <w:p>
      <w:pPr>
        <w:pStyle w:val="Normal"/>
        <w:shd w:val="clear" w:fill="FFFFFF"/>
        <w:suppressAutoHyphens w:val="false"/>
        <w:bidi w:val="0"/>
        <w:ind w:left="0" w:right="0"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25" w:type="dxa"/>
        <w:jc w:val="left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5"/>
        <w:gridCol w:w="3464"/>
        <w:gridCol w:w="1876"/>
        <w:gridCol w:w="3749"/>
      </w:tblGrid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Відповідальні за виконання</w:t>
            </w:r>
          </w:p>
        </w:tc>
      </w:tr>
      <w:tr>
        <w:trPr>
          <w:trHeight w:val="6439" w:hRule="atLeast"/>
          <w:cantSplit w:val="true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Cs/>
                <w:sz w:val="24"/>
                <w:szCs w:val="24"/>
                <w:lang w:val="uk-UA"/>
              </w:rPr>
              <w:t>Розміщення соціальної реклами на сто</w:t>
            </w:r>
            <w:r>
              <w:rPr>
                <w:rFonts w:eastAsia="Calibri" w:ascii="Times New Roman" w:hAnsi="Times New Roman"/>
                <w:bCs/>
                <w:spacing w:val="0"/>
                <w:sz w:val="24"/>
                <w:szCs w:val="24"/>
                <w:lang w:val="uk-UA"/>
              </w:rPr>
              <w:t>рінк</w:t>
            </w:r>
            <w:r>
              <w:rPr>
                <w:rFonts w:eastAsia="Calibri" w:ascii="Times New Roman" w:hAnsi="Times New Roman"/>
                <w:bCs/>
                <w:sz w:val="24"/>
                <w:szCs w:val="24"/>
                <w:lang w:val="uk-UA"/>
              </w:rPr>
              <w:t>ах соціальних мереж із залученням провідних спортсменів, у тому числі спортсменів з інвалідністю, тренерів, ветеранів спорту, для формування  ціннісного ставлення юнацтва і молоді до власного здоров</w:t>
            </w:r>
            <w:r>
              <w:rPr>
                <w:rFonts w:eastAsia="Calibri" w:cs="Arial" w:ascii="Times New Roman" w:hAnsi="Times New Roman"/>
                <w:bCs/>
                <w:sz w:val="24"/>
                <w:szCs w:val="24"/>
                <w:lang w:val="uk-UA"/>
              </w:rPr>
              <w:t>ʼя, поліпшення фізичного розвитку та фізичної підготовки з урахуваням</w:t>
            </w:r>
            <w:r>
              <w:rPr>
                <w:rFonts w:eastAsia="Calibri" w:ascii="Times New Roman" w:hAnsi="Times New Roman"/>
                <w:bCs/>
                <w:sz w:val="24"/>
                <w:szCs w:val="24"/>
                <w:lang w:val="uk-UA"/>
              </w:rPr>
              <w:t xml:space="preserve">  вимог майбутньої професійної діяльності.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 w:ascii="Times New Roman" w:hAnsi="Times New Roman"/>
                <w:bCs/>
                <w:sz w:val="24"/>
                <w:szCs w:val="24"/>
                <w:lang w:val="uk-UA"/>
              </w:rPr>
              <w:t>1) Сприяння поширенню у засобах масової інформації соціальної реклами щодо пропаганди здорового способу життя, з урахуванням потреб та різних груп населення, у тому числі маломобільних, залежно від статі, віку, місця проживання, інших ознак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eastAsia="Calibri" w:cs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  <w:lang w:val="uk-UA" w:eastAsia="ru-RU" w:bidi="ar-SA"/>
              </w:rPr>
              <w:t xml:space="preserve">Відділ молоді та спорту, 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  <w:lang w:val="uk-UA" w:eastAsia="ru-RU" w:bidi="ar-SA"/>
              </w:rPr>
              <w:t xml:space="preserve">прес-служба міського голови, 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  <w:lang w:val="uk-UA" w:eastAsia="ru-RU" w:bidi="ar-SA"/>
              </w:rPr>
              <w:t xml:space="preserve">відділ інформаційно — технічного забезпечення, 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  <w:lang w:val="uk-UA" w:eastAsia="ru-RU" w:bidi="ar-SA"/>
              </w:rPr>
              <w:t>місцеві ЗМІ ( за згодою)</w:t>
            </w:r>
          </w:p>
        </w:tc>
      </w:tr>
      <w:tr>
        <w:trPr>
          <w:trHeight w:val="4590" w:hRule="atLeast"/>
          <w:cantSplit w:val="true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 w:ascii="Times New Roman" w:hAnsi="Times New Roman"/>
                <w:bCs/>
                <w:sz w:val="24"/>
                <w:szCs w:val="24"/>
                <w:lang w:val="uk-UA"/>
              </w:rPr>
              <w:t>Залучення інститутів громадянського суспільства у тому числі молодіжних та громадських організацій, до проведення заходів з підвищення оздоровчої рухової активності населення.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ind w:left="0" w:right="0" w:hanging="567"/>
              <w:jc w:val="left"/>
              <w:rPr>
                <w:rFonts w:ascii="Times New Roman" w:hAnsi="Times New Roman"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 w:ascii="Times New Roman" w:hAnsi="Times New Roman"/>
                <w:bCs/>
                <w:sz w:val="24"/>
                <w:szCs w:val="24"/>
                <w:lang w:val="uk-UA"/>
              </w:rPr>
              <w:t>1) Сприяння здійсненню громадськими організаціями заходів, спрямованих на популяризацію та формування культури здорового способу життя населення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Відділ молоді та спорту,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громадські організації (за згодою)</w:t>
            </w:r>
          </w:p>
          <w:p>
            <w:pPr>
              <w:pStyle w:val="Style20"/>
              <w:widowControl w:val="false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Молодіжна рада (за згодою)</w:t>
            </w:r>
          </w:p>
        </w:tc>
      </w:tr>
      <w:tr>
        <w:trPr>
          <w:trHeight w:val="1245" w:hRule="atLeast"/>
          <w:cantSplit w:val="true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ind w:left="0" w:right="0" w:hanging="567"/>
              <w:jc w:val="left"/>
              <w:rPr>
                <w:rFonts w:ascii="Times New Roman" w:hAnsi="Times New Roman"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ascii="Times New Roman" w:hAnsi="Times New Roman"/>
                <w:bCs/>
                <w:sz w:val="24"/>
                <w:szCs w:val="24"/>
                <w:lang w:val="uk-UA"/>
              </w:rPr>
              <w:t>Облаштування безпечних маршрутів для пішоходного, велосипедного туризму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2021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uk-UA"/>
              </w:rPr>
              <w:t>₋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2022 роки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молоді та спорту,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відділ архітектури,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КП ”Добробут”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УЖКГ та Б</w:t>
            </w:r>
          </w:p>
        </w:tc>
      </w:tr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Розроблення нових підходів до проведення занять з фізичної культури (виховання) у закладах освіти як органічної складової здорового способу життя з урахуванням інклюзивності для осіб з інвалідністю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1)залучення провідних спортсменів, громадських організацій фізкультурно-спортивної спрямованості до проведення у закладах освіти майстер-класів, відкритих занять у рамках уроків фізичної культури (виховання)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залучення дітей та молоді до занять фізичною культурою і спортом за допомогою системи позашкільної освіти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 ₋ 2022 роки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2"/>
                <w:sz w:val="24"/>
                <w:szCs w:val="24"/>
                <w:shd w:fill="auto" w:val="clear"/>
                <w:lang w:val="uk-UA" w:eastAsia="ru-RU" w:bidi="ar-SA"/>
              </w:rPr>
              <w:t xml:space="preserve">Відділ молоді та спорту, 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2"/>
                <w:sz w:val="24"/>
                <w:szCs w:val="24"/>
                <w:shd w:fill="auto" w:val="clear"/>
                <w:lang w:val="uk-UA" w:eastAsia="ru-RU" w:bidi="ar-SA"/>
              </w:rPr>
              <w:t xml:space="preserve">управління освіти, 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2"/>
                <w:sz w:val="24"/>
                <w:szCs w:val="24"/>
                <w:shd w:fill="auto" w:val="clear"/>
                <w:lang w:val="uk-UA" w:eastAsia="ru-RU" w:bidi="ar-SA"/>
              </w:rPr>
              <w:t>відділ культури</w:t>
            </w:r>
          </w:p>
        </w:tc>
      </w:tr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Залучення суб</w:t>
            </w:r>
            <w:r>
              <w:rPr>
                <w:rFonts w:eastAsia="NSimSun" w:cs="Arial" w:ascii="Times New Roman" w:hAnsi="Times New Roman"/>
                <w:color w:val="000000"/>
                <w:sz w:val="24"/>
                <w:szCs w:val="24"/>
                <w:shd w:fill="auto" w:val="clear"/>
              </w:rPr>
              <w:t>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єктів масового спорту  та оздоровчого фітнесу до наданя послуг з фізкультурно — спортивної реабілітації дітям, молоді та особам з інвалідністю, учасникам операції Об</w:t>
            </w:r>
            <w:r>
              <w:rPr>
                <w:rFonts w:eastAsia="NSimSun" w:cs="Arial" w:ascii="Times New Roman" w:hAnsi="Times New Roman"/>
                <w:color w:val="000000"/>
                <w:sz w:val="24"/>
                <w:szCs w:val="24"/>
                <w:shd w:fill="auto" w:val="clear"/>
              </w:rPr>
              <w:t>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єднаних сил у східних областях з використанням засобів фізичної культури і спорту для забезпечення сприяння їх соціальній інтеграції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2021 -2022 роки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Відділ молоді та спорту, 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громадські організації, (за згодою)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приватні підприємці, (за згодою)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волонтери  (за згодою)</w:t>
            </w:r>
          </w:p>
        </w:tc>
      </w:tr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рекомендацій про  дотримання вимог щодо  забезпечення безперешкодного доступу осіб з інвалідністю до спортивних споруд, під час реконструкції існуючих об</w:t>
            </w:r>
            <w:r>
              <w:rPr>
                <w:rFonts w:eastAsia="NSimSun" w:cs="Arial" w:ascii="Times New Roman" w:hAnsi="Times New Roman"/>
                <w:color w:val="000000"/>
                <w:sz w:val="24"/>
                <w:szCs w:val="24"/>
              </w:rPr>
              <w:t>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єктів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2021 - 2022 роки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КП ”Добробут”, 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освіти, 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архітектури,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УЖКГ та Б, 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204" w:hRule="atLeas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діяльності дитячо — юнацького та резервного спорту, 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сприяння діяльності закладів фізичної культури і спорту в процесі впровадження адміністративної реформи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 w:eastAsia="NSimSun" w:cs="Arial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Щорічно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молоді та спорту, 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125" w:hRule="atLeas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Ініціювання внесення змін до планування територій у частині створення місць  для активного відпочинку, зокрема парків для  фізичної активності та спорту на свіжому повітрі, облаштування  безпечних велосипедних і пішохідних доріжок, внесення  змін до відповідних будівельних норм та стандартів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молоді та спорту, 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КП ”Добробут”,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 архітектури,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УЖКГ та Б,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Громадська рада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(за згодою)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Молодіжна   рада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(за згодою)</w:t>
            </w:r>
          </w:p>
        </w:tc>
      </w:tr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Підготовка пропозицій щодо будівництва або реконструкції відповідних спортивних споруд на основі проведення аналізу забезпечення спортивними спорудами населення за місцем проживання з урахуванням потреб різних груп населення, у тому числі маломобільних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рік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молоді та спорту, управління освіти,</w:t>
            </w:r>
          </w:p>
          <w:p>
            <w:pPr>
              <w:pStyle w:val="Style20"/>
              <w:widowControl w:val="false"/>
              <w:bidi w:val="0"/>
              <w:spacing w:before="0" w:after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КП ”Добробут”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 архітектури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УЖКГ та Б,.</w:t>
            </w:r>
          </w:p>
        </w:tc>
      </w:tr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Здійснення моніторингу для визначення стану  спортивних споруд, їх відвідування та ефективності використання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 w:eastAsia="NSimSun" w:cs="Arial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Щорічно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молоді та спорту, 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КП ”Добробут”,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 освіти,</w:t>
            </w:r>
          </w:p>
          <w:p>
            <w:pPr>
              <w:pStyle w:val="Style20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УЖКГ та Б ,</w:t>
            </w:r>
          </w:p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 “ПГЗК”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(за згодою)</w:t>
            </w:r>
          </w:p>
        </w:tc>
      </w:tr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інвентаризації об</w:t>
            </w:r>
            <w:r>
              <w:rPr>
                <w:rFonts w:eastAsia="NSimSun" w:cs="Arial" w:ascii="Times New Roman" w:hAnsi="Times New Roman"/>
                <w:color w:val="000000"/>
                <w:sz w:val="24"/>
                <w:szCs w:val="24"/>
              </w:rPr>
              <w:t>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єктів усієї спортивної інфраструктури для визначення їх стану та рівня доступності,  у тому числі шляхом прийняття цифрових інформаційних рішень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рік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молоді та спорту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КП ”Добробут”,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 освіти,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архітектури,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УЖКГ та Б</w:t>
            </w:r>
          </w:p>
        </w:tc>
      </w:tr>
    </w:tbl>
    <w:p>
      <w:pPr>
        <w:pStyle w:val="Normal"/>
        <w:widowControl/>
        <w:shd w:val="clear" w:fill="FFFFFF"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В.о.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відділу молоді та спорту                                               В.М.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Боєва</w:t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85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960" w:hanging="1440"/>
      </w:pPr>
    </w:lvl>
    <w:lvl w:ilvl="6">
      <w:start w:val="1"/>
      <w:numFmt w:val="decimal"/>
      <w:lvlText w:val="%1.%2.%3.%4.%5.%6.%7"/>
      <w:lvlJc w:val="left"/>
      <w:pPr>
        <w:ind w:left="4680" w:hanging="1800"/>
      </w:pPr>
    </w:lvl>
    <w:lvl w:ilvl="7">
      <w:start w:val="1"/>
      <w:numFmt w:val="decimal"/>
      <w:lvlText w:val="%1.%2.%3.%4.%5.%6.%7.%8"/>
      <w:lvlJc w:val="left"/>
      <w:pPr>
        <w:ind w:left="504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Виділення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Абзац списка"/>
    <w:basedOn w:val="Normal"/>
    <w:qFormat/>
    <w:pPr>
      <w:spacing w:before="0" w:after="0"/>
      <w:ind w:left="720" w:right="0" w:hanging="0"/>
      <w:contextualSpacing/>
    </w:pPr>
    <w:rPr>
      <w:rFonts w:ascii="Times New Roman" w:hAnsi="Times New Roman" w:cs="Times New Roman"/>
      <w:sz w:val="24"/>
      <w:szCs w:val="24"/>
    </w:rPr>
  </w:style>
  <w:style w:type="paragraph" w:styleId="Style22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398</TotalTime>
  <Application>LibreOffice/6.1.4.2$Windows_x86 LibreOffice_project/9d0f32d1f0b509096fd65e0d4bec26ddd1938fd3</Application>
  <Pages>5</Pages>
  <Words>797</Words>
  <Characters>5327</Characters>
  <CharactersWithSpaces>6715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2021-03-16T11:07:08Z</dcterms:created>
  <dc:creator/>
  <dc:description/>
  <dc:language>uk-UA</dc:language>
  <cp:lastModifiedBy/>
  <cp:lastPrinted>2021-03-23T15:50:05Z</cp:lastPrinted>
  <dcterms:modified xsi:type="dcterms:W3CDTF">2021-04-01T09:41:58Z</dcterms:modified>
  <cp:revision>18</cp:revision>
  <dc:subject/>
  <dc:title/>
</cp:coreProperties>
</file>